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58" w:rsidRPr="0050384F" w:rsidRDefault="00CF2058" w:rsidP="00CF2058">
      <w:pPr>
        <w:pStyle w:val="Default"/>
        <w:jc w:val="center"/>
        <w:rPr>
          <w:rFonts w:eastAsia="標楷體"/>
          <w:b/>
          <w:sz w:val="28"/>
          <w:lang w:eastAsia="zh-TW"/>
        </w:rPr>
      </w:pPr>
      <w:r w:rsidRPr="0050384F">
        <w:rPr>
          <w:rFonts w:eastAsia="標楷體"/>
          <w:b/>
          <w:bCs/>
          <w:color w:val="1C1D23"/>
          <w:sz w:val="28"/>
          <w:lang w:eastAsia="zh-TW"/>
        </w:rPr>
        <w:t>1</w:t>
      </w:r>
      <w:r w:rsidR="002401E0">
        <w:rPr>
          <w:rFonts w:eastAsia="標楷體" w:hint="eastAsia"/>
          <w:b/>
          <w:bCs/>
          <w:color w:val="1C1D23"/>
          <w:sz w:val="28"/>
          <w:lang w:eastAsia="zh-TW"/>
        </w:rPr>
        <w:t>1</w:t>
      </w:r>
      <w:r w:rsidR="00A91AD7">
        <w:rPr>
          <w:rFonts w:eastAsia="標楷體" w:hint="eastAsia"/>
          <w:b/>
          <w:bCs/>
          <w:color w:val="1C1D23"/>
          <w:sz w:val="28"/>
          <w:lang w:eastAsia="zh-TW"/>
        </w:rPr>
        <w:t>3</w:t>
      </w:r>
      <w:r w:rsidRPr="0050384F">
        <w:rPr>
          <w:rFonts w:eastAsia="標楷體"/>
          <w:b/>
          <w:color w:val="1C1D23"/>
          <w:sz w:val="28"/>
          <w:lang w:eastAsia="zh-TW"/>
        </w:rPr>
        <w:t>學年度</w:t>
      </w:r>
      <w:r w:rsidRPr="0050384F">
        <w:rPr>
          <w:rFonts w:eastAsia="標楷體"/>
          <w:b/>
          <w:sz w:val="28"/>
          <w:lang w:eastAsia="zh-TW"/>
        </w:rPr>
        <w:t>台灣聯合大學系統</w:t>
      </w:r>
    </w:p>
    <w:p w:rsidR="002401E0" w:rsidRDefault="00CF2058" w:rsidP="00CF2058">
      <w:pPr>
        <w:pStyle w:val="Default"/>
        <w:jc w:val="center"/>
        <w:rPr>
          <w:rFonts w:eastAsia="標楷體"/>
          <w:b/>
          <w:color w:val="1C1D23"/>
          <w:lang w:eastAsia="zh-TW"/>
        </w:rPr>
      </w:pPr>
      <w:r w:rsidRPr="009B1E37">
        <w:rPr>
          <w:rFonts w:eastAsia="標楷體"/>
          <w:b/>
          <w:color w:val="1C1D23"/>
          <w:lang w:eastAsia="zh-TW"/>
        </w:rPr>
        <w:t>亞際文化研究國際碩士學位學程</w:t>
      </w:r>
    </w:p>
    <w:p w:rsidR="00CF2058" w:rsidRPr="009B1E37" w:rsidRDefault="00CF2058" w:rsidP="00CF2058">
      <w:pPr>
        <w:pStyle w:val="Default"/>
        <w:jc w:val="center"/>
        <w:rPr>
          <w:rFonts w:eastAsia="標楷體"/>
          <w:b/>
          <w:color w:val="1C1D23"/>
          <w:lang w:eastAsia="zh-TW"/>
        </w:rPr>
      </w:pPr>
      <w:r w:rsidRPr="009B1E37">
        <w:rPr>
          <w:rFonts w:eastAsia="標楷體"/>
          <w:b/>
          <w:bCs/>
          <w:color w:val="1C1D23"/>
          <w:lang w:eastAsia="zh-TW"/>
        </w:rPr>
        <w:t>(</w:t>
      </w:r>
      <w:r w:rsidRPr="009B1E37">
        <w:rPr>
          <w:rFonts w:eastAsia="標楷體"/>
          <w:b/>
          <w:color w:val="1C1D23"/>
          <w:lang w:eastAsia="zh-TW"/>
        </w:rPr>
        <w:t>國立中央大學、</w:t>
      </w:r>
      <w:r w:rsidR="00A91AD7">
        <w:rPr>
          <w:rFonts w:eastAsia="標楷體"/>
          <w:b/>
          <w:color w:val="1C1D23"/>
          <w:lang w:eastAsia="zh-TW"/>
        </w:rPr>
        <w:t>國立</w:t>
      </w:r>
      <w:r w:rsidR="00A91AD7">
        <w:rPr>
          <w:rFonts w:eastAsia="標楷體" w:hint="eastAsia"/>
          <w:b/>
          <w:color w:val="1C1D23"/>
          <w:lang w:eastAsia="zh-TW"/>
        </w:rPr>
        <w:t>政治</w:t>
      </w:r>
      <w:r w:rsidR="00A91AD7" w:rsidRPr="009B1E37">
        <w:rPr>
          <w:rFonts w:eastAsia="標楷體"/>
          <w:b/>
          <w:color w:val="1C1D23"/>
          <w:lang w:eastAsia="zh-TW"/>
        </w:rPr>
        <w:t>大學</w:t>
      </w:r>
      <w:r w:rsidR="00A91AD7">
        <w:rPr>
          <w:rFonts w:eastAsia="標楷體" w:hint="eastAsia"/>
          <w:b/>
          <w:color w:val="1C1D23"/>
          <w:lang w:eastAsia="zh-TW"/>
        </w:rPr>
        <w:t>、</w:t>
      </w:r>
      <w:r w:rsidRPr="009B1E37">
        <w:rPr>
          <w:rFonts w:eastAsia="標楷體"/>
          <w:b/>
          <w:color w:val="1C1D23"/>
          <w:lang w:eastAsia="zh-TW"/>
        </w:rPr>
        <w:t>國立清華大學</w:t>
      </w:r>
      <w:r w:rsidR="00A91AD7" w:rsidRPr="009B1E37">
        <w:rPr>
          <w:rFonts w:eastAsia="標楷體"/>
          <w:b/>
          <w:color w:val="1C1D23"/>
          <w:lang w:eastAsia="zh-TW"/>
        </w:rPr>
        <w:t>、國立</w:t>
      </w:r>
      <w:r w:rsidR="00A91AD7">
        <w:rPr>
          <w:rFonts w:eastAsia="標楷體" w:hint="eastAsia"/>
          <w:b/>
          <w:color w:val="1C1D23"/>
          <w:lang w:eastAsia="zh-TW"/>
        </w:rPr>
        <w:t>陽明</w:t>
      </w:r>
      <w:r w:rsidR="00A91AD7" w:rsidRPr="009B1E37">
        <w:rPr>
          <w:rFonts w:eastAsia="標楷體"/>
          <w:b/>
          <w:color w:val="1C1D23"/>
          <w:lang w:eastAsia="zh-TW"/>
        </w:rPr>
        <w:t>交通大學</w:t>
      </w:r>
      <w:r w:rsidR="00A91AD7">
        <w:rPr>
          <w:rFonts w:eastAsia="標楷體" w:hint="eastAsia"/>
          <w:b/>
          <w:color w:val="1C1D23"/>
          <w:lang w:eastAsia="zh-TW"/>
        </w:rPr>
        <w:t>交大校區</w:t>
      </w:r>
      <w:r w:rsidRPr="009B1E37">
        <w:rPr>
          <w:rFonts w:eastAsia="標楷體"/>
          <w:b/>
          <w:bCs/>
          <w:color w:val="1C1D23"/>
          <w:lang w:eastAsia="zh-TW"/>
        </w:rPr>
        <w:t>)</w:t>
      </w:r>
    </w:p>
    <w:p w:rsidR="00CF2058" w:rsidRPr="0050384F" w:rsidRDefault="00CF2058" w:rsidP="00CF2058">
      <w:pPr>
        <w:pStyle w:val="Default"/>
        <w:jc w:val="center"/>
        <w:rPr>
          <w:rFonts w:eastAsia="標楷體"/>
          <w:b/>
          <w:color w:val="1C1D23"/>
          <w:sz w:val="28"/>
          <w:lang w:eastAsia="zh-TW"/>
        </w:rPr>
      </w:pPr>
      <w:r>
        <w:rPr>
          <w:rFonts w:eastAsia="標楷體" w:hint="eastAsia"/>
          <w:b/>
          <w:color w:val="1C1D23"/>
          <w:sz w:val="28"/>
          <w:lang w:eastAsia="zh-TW"/>
        </w:rPr>
        <w:t>甄試</w:t>
      </w:r>
      <w:r w:rsidRPr="0050384F">
        <w:rPr>
          <w:rFonts w:eastAsia="標楷體"/>
          <w:b/>
          <w:color w:val="1C1D23"/>
          <w:sz w:val="28"/>
          <w:lang w:eastAsia="zh-TW"/>
        </w:rPr>
        <w:t>入學考試考題</w:t>
      </w:r>
    </w:p>
    <w:p w:rsidR="00CF2058" w:rsidRPr="0050384F" w:rsidRDefault="00CF2058" w:rsidP="00CF2058">
      <w:pPr>
        <w:pStyle w:val="Default"/>
        <w:jc w:val="center"/>
        <w:rPr>
          <w:rFonts w:eastAsia="標楷體"/>
          <w:b/>
          <w:u w:val="single"/>
          <w:lang w:eastAsia="zh-TW"/>
        </w:rPr>
      </w:pPr>
    </w:p>
    <w:p w:rsidR="00CF2058" w:rsidRPr="0050384F" w:rsidRDefault="00CF2058" w:rsidP="00CF2058">
      <w:pPr>
        <w:pStyle w:val="Default"/>
        <w:rPr>
          <w:rFonts w:eastAsia="標楷體"/>
          <w:u w:val="single"/>
          <w:lang w:eastAsia="zh-TW"/>
        </w:rPr>
      </w:pPr>
      <w:r w:rsidRPr="0050384F">
        <w:rPr>
          <w:rFonts w:eastAsia="標楷體"/>
          <w:color w:val="1C1D23"/>
          <w:u w:val="single"/>
          <w:lang w:eastAsia="zh-TW"/>
        </w:rPr>
        <w:t>考試時間：</w:t>
      </w:r>
      <w:r w:rsidR="002401E0">
        <w:rPr>
          <w:rFonts w:eastAsia="標楷體"/>
          <w:color w:val="1C1D23"/>
          <w:u w:val="single"/>
          <w:lang w:eastAsia="zh-TW"/>
        </w:rPr>
        <w:t>1</w:t>
      </w:r>
      <w:r w:rsidR="002401E0">
        <w:rPr>
          <w:rFonts w:eastAsia="標楷體" w:hint="eastAsia"/>
          <w:color w:val="1C1D23"/>
          <w:u w:val="single"/>
          <w:lang w:eastAsia="zh-TW"/>
        </w:rPr>
        <w:t>1</w:t>
      </w:r>
      <w:r w:rsidR="00A91AD7">
        <w:rPr>
          <w:rFonts w:eastAsia="標楷體" w:hint="eastAsia"/>
          <w:color w:val="1C1D23"/>
          <w:u w:val="single"/>
          <w:lang w:eastAsia="zh-TW"/>
        </w:rPr>
        <w:t>2</w:t>
      </w:r>
      <w:r w:rsidRPr="0050384F">
        <w:rPr>
          <w:rFonts w:eastAsia="標楷體"/>
          <w:color w:val="1C1D23"/>
          <w:u w:val="single"/>
          <w:lang w:eastAsia="zh-TW"/>
        </w:rPr>
        <w:t>年</w:t>
      </w:r>
      <w:r>
        <w:rPr>
          <w:rFonts w:eastAsia="標楷體" w:hint="eastAsia"/>
          <w:color w:val="1C1D23"/>
          <w:u w:val="single"/>
          <w:lang w:eastAsia="zh-TW"/>
        </w:rPr>
        <w:t>11</w:t>
      </w:r>
      <w:r w:rsidRPr="0050384F">
        <w:rPr>
          <w:rFonts w:eastAsia="標楷體"/>
          <w:color w:val="1C1D23"/>
          <w:u w:val="single"/>
          <w:lang w:eastAsia="zh-TW"/>
        </w:rPr>
        <w:t>月</w:t>
      </w:r>
      <w:r w:rsidR="00A91AD7">
        <w:rPr>
          <w:rFonts w:eastAsia="標楷體" w:hint="eastAsia"/>
          <w:color w:val="1C1D23"/>
          <w:u w:val="single"/>
          <w:lang w:eastAsia="zh-TW"/>
        </w:rPr>
        <w:t>6</w:t>
      </w:r>
      <w:r w:rsidRPr="0050384F">
        <w:rPr>
          <w:rFonts w:eastAsia="標楷體"/>
          <w:color w:val="1C1D23"/>
          <w:u w:val="single"/>
          <w:lang w:eastAsia="zh-TW"/>
        </w:rPr>
        <w:t>日，</w:t>
      </w:r>
      <w:r w:rsidR="00A91AD7">
        <w:rPr>
          <w:rFonts w:eastAsia="標楷體" w:hint="eastAsia"/>
          <w:color w:val="1C1D23"/>
          <w:u w:val="single"/>
          <w:lang w:eastAsia="zh-TW"/>
        </w:rPr>
        <w:t>9</w:t>
      </w:r>
      <w:r>
        <w:rPr>
          <w:rFonts w:eastAsia="標楷體"/>
          <w:color w:val="1C1D23"/>
          <w:u w:val="single"/>
          <w:lang w:eastAsia="zh-TW"/>
        </w:rPr>
        <w:t>:</w:t>
      </w:r>
      <w:r w:rsidR="002401E0">
        <w:rPr>
          <w:rFonts w:eastAsia="標楷體" w:hint="eastAsia"/>
          <w:color w:val="1C1D23"/>
          <w:u w:val="single"/>
          <w:lang w:eastAsia="zh-TW"/>
        </w:rPr>
        <w:t>0</w:t>
      </w:r>
      <w:r w:rsidRPr="0050384F">
        <w:rPr>
          <w:rFonts w:eastAsia="標楷體"/>
          <w:color w:val="1C1D23"/>
          <w:u w:val="single"/>
          <w:lang w:eastAsia="zh-TW"/>
        </w:rPr>
        <w:t>0-1</w:t>
      </w:r>
      <w:r w:rsidR="00A91AD7">
        <w:rPr>
          <w:rFonts w:eastAsia="標楷體" w:hint="eastAsia"/>
          <w:color w:val="1C1D23"/>
          <w:u w:val="single"/>
          <w:lang w:eastAsia="zh-TW"/>
        </w:rPr>
        <w:t>0</w:t>
      </w:r>
      <w:r w:rsidRPr="0050384F">
        <w:rPr>
          <w:rFonts w:eastAsia="標楷體"/>
          <w:color w:val="1C1D23"/>
          <w:u w:val="single"/>
          <w:lang w:eastAsia="zh-TW"/>
        </w:rPr>
        <w:t>:</w:t>
      </w:r>
      <w:r w:rsidR="002401E0">
        <w:rPr>
          <w:rFonts w:eastAsia="標楷體" w:hint="eastAsia"/>
          <w:color w:val="1C1D23"/>
          <w:u w:val="single"/>
          <w:lang w:eastAsia="zh-TW"/>
        </w:rPr>
        <w:t>0</w:t>
      </w:r>
      <w:r w:rsidRPr="0050384F">
        <w:rPr>
          <w:rFonts w:eastAsia="標楷體"/>
          <w:color w:val="1C1D23"/>
          <w:u w:val="single"/>
          <w:lang w:eastAsia="zh-TW"/>
        </w:rPr>
        <w:t>0</w:t>
      </w:r>
    </w:p>
    <w:p w:rsidR="00CF2058" w:rsidRPr="0050384F" w:rsidRDefault="00CF2058" w:rsidP="00CF2058">
      <w:pPr>
        <w:pStyle w:val="Default"/>
        <w:rPr>
          <w:rFonts w:eastAsia="標楷體"/>
          <w:color w:val="1C1D23"/>
          <w:u w:val="single"/>
          <w:lang w:eastAsia="zh-TW"/>
        </w:rPr>
      </w:pPr>
      <w:r w:rsidRPr="0050384F">
        <w:rPr>
          <w:rFonts w:eastAsia="標楷體"/>
          <w:color w:val="1C1D23"/>
          <w:u w:val="single"/>
          <w:lang w:eastAsia="zh-TW"/>
        </w:rPr>
        <w:t>考試科目：英文閱讀</w:t>
      </w:r>
    </w:p>
    <w:p w:rsidR="00CF2058" w:rsidRPr="009B1E37" w:rsidRDefault="00CF2058" w:rsidP="00CF2058">
      <w:pPr>
        <w:rPr>
          <w:rFonts w:ascii="Times New Roman" w:eastAsia="標楷體" w:hAnsi="Times New Roman" w:cs="Times New Roman"/>
          <w:b/>
          <w:szCs w:val="32"/>
        </w:rPr>
      </w:pPr>
      <w:r w:rsidRPr="009B1E37">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作答前</w:t>
      </w:r>
      <w:r>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請先核對試題、答案卷</w:t>
      </w:r>
      <w:r w:rsidRPr="009B1E37">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試卷</w:t>
      </w:r>
      <w:r w:rsidRPr="009B1E37">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與准考證上之所組別與考試科目是否相符</w:t>
      </w:r>
      <w:r w:rsidRPr="009B1E37">
        <w:rPr>
          <w:rFonts w:ascii="Times New Roman" w:eastAsia="標楷體" w:hAnsi="Times New Roman" w:cs="Times New Roman" w:hint="eastAsia"/>
          <w:b/>
          <w:szCs w:val="32"/>
        </w:rPr>
        <w:t>!!</w:t>
      </w:r>
    </w:p>
    <w:p w:rsidR="002F74C9" w:rsidRDefault="002F74C9"/>
    <w:p w:rsidR="00CF2058" w:rsidRDefault="00CF2058"/>
    <w:p w:rsidR="00CF2058" w:rsidRPr="00CF2058" w:rsidRDefault="00CF2058" w:rsidP="00CF2058">
      <w:pPr>
        <w:jc w:val="center"/>
        <w:rPr>
          <w:rFonts w:ascii="Times New Roman" w:eastAsia="標楷體" w:hAnsi="Times New Roman" w:cs="Times New Roman"/>
          <w:b/>
          <w:sz w:val="32"/>
          <w:szCs w:val="32"/>
        </w:rPr>
      </w:pPr>
      <w:r w:rsidRPr="00CF2058">
        <w:rPr>
          <w:rFonts w:ascii="Times New Roman" w:eastAsia="標楷體" w:hAnsi="Times New Roman" w:cs="Times New Roman"/>
          <w:b/>
          <w:sz w:val="32"/>
          <w:szCs w:val="32"/>
        </w:rPr>
        <w:t>English Reading</w:t>
      </w:r>
    </w:p>
    <w:p w:rsidR="00CF2058" w:rsidRPr="00CF2058" w:rsidRDefault="00CF2058" w:rsidP="00CF2058">
      <w:pPr>
        <w:jc w:val="both"/>
        <w:rPr>
          <w:rFonts w:ascii="Times New Roman" w:eastAsia="標楷體" w:hAnsi="Times New Roman" w:cs="Times New Roman"/>
          <w:szCs w:val="24"/>
        </w:rPr>
      </w:pPr>
    </w:p>
    <w:p w:rsidR="00CF2058" w:rsidRPr="00CF2058" w:rsidRDefault="00CF2058" w:rsidP="00CF2058">
      <w:pPr>
        <w:jc w:val="both"/>
        <w:rPr>
          <w:rFonts w:ascii="Times New Roman" w:eastAsia="標楷體" w:hAnsi="Times New Roman" w:cs="Times New Roman"/>
          <w:szCs w:val="24"/>
        </w:rPr>
      </w:pPr>
      <w:r w:rsidRPr="00CF2058">
        <w:rPr>
          <w:rFonts w:ascii="Times New Roman" w:eastAsia="標楷體" w:hAnsi="Times New Roman" w:cs="Times New Roman"/>
          <w:szCs w:val="24"/>
        </w:rPr>
        <w:t>This is a test of your English reading comprehension.</w:t>
      </w:r>
      <w:r w:rsidRPr="00CF2058">
        <w:rPr>
          <w:rFonts w:ascii="Times New Roman" w:eastAsia="標楷體" w:hAnsi="Times New Roman" w:cs="Times New Roman"/>
          <w:szCs w:val="24"/>
          <w:u w:val="single"/>
        </w:rPr>
        <w:t xml:space="preserve"> You must answer the required question as well as the question written for your chosen area of specialization.</w:t>
      </w:r>
      <w:r w:rsidRPr="00CF2058">
        <w:rPr>
          <w:rFonts w:ascii="Times New Roman" w:eastAsia="標楷體" w:hAnsi="Times New Roman" w:cs="Times New Roman"/>
          <w:szCs w:val="24"/>
        </w:rPr>
        <w:t xml:space="preserve"> As you have only one hour to finish two questions, your answers should be short but to the point; each will be worth 50 points. Answers could be in either Chinese or English.</w:t>
      </w:r>
    </w:p>
    <w:p w:rsidR="00CF2058" w:rsidRDefault="00CF2058" w:rsidP="00CF2058">
      <w:pPr>
        <w:jc w:val="both"/>
        <w:rPr>
          <w:rFonts w:ascii="Times New Roman" w:eastAsia="標楷體" w:hAnsi="Times New Roman" w:cs="Times New Roman"/>
          <w:szCs w:val="24"/>
        </w:rPr>
      </w:pPr>
    </w:p>
    <w:p w:rsidR="00CF2058" w:rsidRDefault="00CF2058" w:rsidP="00CF2058">
      <w:pPr>
        <w:jc w:val="both"/>
        <w:rPr>
          <w:rFonts w:ascii="Times New Roman" w:eastAsia="標楷體" w:hAnsi="Times New Roman" w:cs="Times New Roman"/>
          <w:szCs w:val="24"/>
        </w:rPr>
      </w:pPr>
    </w:p>
    <w:p w:rsidR="001747D2" w:rsidRPr="00CF2058" w:rsidRDefault="001747D2" w:rsidP="00CF2058">
      <w:pPr>
        <w:jc w:val="both"/>
        <w:rPr>
          <w:rFonts w:ascii="Times New Roman" w:eastAsia="標楷體" w:hAnsi="Times New Roman" w:cs="Times New Roman"/>
          <w:szCs w:val="24"/>
        </w:rPr>
      </w:pPr>
    </w:p>
    <w:p w:rsidR="00CF2058" w:rsidRDefault="00CF2058" w:rsidP="00CF2058">
      <w:pPr>
        <w:pStyle w:val="a3"/>
        <w:numPr>
          <w:ilvl w:val="0"/>
          <w:numId w:val="1"/>
        </w:numPr>
        <w:ind w:leftChars="0"/>
        <w:jc w:val="both"/>
        <w:rPr>
          <w:rFonts w:ascii="Times New Roman" w:eastAsia="標楷體" w:hAnsi="Times New Roman" w:cs="Times New Roman"/>
          <w:b/>
          <w:szCs w:val="24"/>
        </w:rPr>
      </w:pPr>
      <w:r w:rsidRPr="00CF2058">
        <w:rPr>
          <w:rFonts w:ascii="Times New Roman" w:eastAsia="標楷體" w:hAnsi="Times New Roman" w:cs="Times New Roman"/>
          <w:b/>
          <w:szCs w:val="24"/>
        </w:rPr>
        <w:t>Required Question</w:t>
      </w:r>
    </w:p>
    <w:p w:rsidR="00CF2058" w:rsidRPr="00D74E65" w:rsidRDefault="00CF2058" w:rsidP="00CF2058">
      <w:pPr>
        <w:jc w:val="both"/>
        <w:rPr>
          <w:rFonts w:ascii="Times New Roman" w:hAnsi="Times New Roman" w:cs="Times New Roman"/>
        </w:rPr>
      </w:pPr>
    </w:p>
    <w:p w:rsidR="00A91AD7" w:rsidRPr="00715831" w:rsidRDefault="00A91AD7" w:rsidP="00A91AD7">
      <w:pPr>
        <w:rPr>
          <w:rFonts w:ascii="Garamond" w:hAnsi="Garamond"/>
        </w:rPr>
      </w:pPr>
      <w:r w:rsidRPr="00715831">
        <w:rPr>
          <w:rFonts w:ascii="Garamond" w:hAnsi="Garamond"/>
        </w:rPr>
        <w:t>The following passages are excerpted from: Show Ying Xin &amp; Sai Siew-Min (2023). “Reassessing the Chinese diaspora from the South: history, culture and narrative.” </w:t>
      </w:r>
      <w:r w:rsidRPr="00715831">
        <w:rPr>
          <w:rFonts w:ascii="Garamond" w:hAnsi="Garamond"/>
          <w:i/>
          <w:iCs/>
        </w:rPr>
        <w:t>Inter-Asia Cultural Studies</w:t>
      </w:r>
      <w:r w:rsidRPr="00715831">
        <w:rPr>
          <w:rFonts w:ascii="Garamond" w:hAnsi="Garamond"/>
        </w:rPr>
        <w:t>, 24(4): 577-584.</w:t>
      </w:r>
    </w:p>
    <w:p w:rsidR="00A91AD7" w:rsidRPr="00715831" w:rsidRDefault="00A91AD7" w:rsidP="00A91AD7">
      <w:pPr>
        <w:rPr>
          <w:rFonts w:ascii="Garamond" w:hAnsi="Garamond"/>
        </w:rPr>
      </w:pPr>
      <w:r w:rsidRPr="00715831">
        <w:rPr>
          <w:rFonts w:ascii="Garamond" w:hAnsi="Garamond"/>
          <w:shd w:val="clear" w:color="auto" w:fill="FFFFFF"/>
        </w:rPr>
        <w:t xml:space="preserve">Please </w:t>
      </w:r>
      <w:r>
        <w:rPr>
          <w:rFonts w:ascii="Garamond" w:hAnsi="Garamond"/>
          <w:shd w:val="clear" w:color="auto" w:fill="FFFFFF"/>
        </w:rPr>
        <w:t>explain the main ideas of these paragraphs</w:t>
      </w:r>
      <w:r w:rsidRPr="00715831">
        <w:rPr>
          <w:rFonts w:ascii="Garamond" w:hAnsi="Garamond"/>
          <w:shd w:val="clear" w:color="auto" w:fill="FFFFFF"/>
        </w:rPr>
        <w:t xml:space="preserve"> and then provide your comments.</w:t>
      </w:r>
    </w:p>
    <w:p w:rsidR="00A91AD7" w:rsidRDefault="00A91AD7" w:rsidP="00A91AD7"/>
    <w:p w:rsidR="00A91AD7" w:rsidRPr="006D2A25" w:rsidRDefault="00A91AD7" w:rsidP="00A91AD7">
      <w:pPr>
        <w:ind w:firstLine="480"/>
        <w:rPr>
          <w:rFonts w:ascii="Times New Roman" w:hAnsi="Times New Roman" w:cs="Times New Roman"/>
        </w:rPr>
      </w:pPr>
      <w:r>
        <w:rPr>
          <w:rFonts w:ascii="Times New Roman" w:hAnsi="Times New Roman" w:cs="Times New Roman"/>
        </w:rPr>
        <w:t xml:space="preserve">(…) </w:t>
      </w:r>
      <w:r w:rsidRPr="006D2A25">
        <w:rPr>
          <w:rFonts w:ascii="Times New Roman" w:hAnsi="Times New Roman" w:cs="Times New Roman"/>
        </w:rPr>
        <w:t xml:space="preserve">In the decades following the end of the so-called Cold War, which was accompanied by the disintegration of the bipolar world and accelerated neoliberal globalization, studies on global </w:t>
      </w:r>
      <w:proofErr w:type="spellStart"/>
      <w:r w:rsidRPr="006D2A25">
        <w:rPr>
          <w:rFonts w:ascii="Times New Roman" w:hAnsi="Times New Roman" w:cs="Times New Roman"/>
        </w:rPr>
        <w:t>Chineseness</w:t>
      </w:r>
      <w:proofErr w:type="spellEnd"/>
      <w:r w:rsidRPr="006D2A25">
        <w:rPr>
          <w:rFonts w:ascii="Times New Roman" w:hAnsi="Times New Roman" w:cs="Times New Roman"/>
        </w:rPr>
        <w:t xml:space="preserve"> have pushed in multiple and sometimes contradictory directions. Scholars have discussed the phenomenon of “</w:t>
      </w:r>
      <w:proofErr w:type="spellStart"/>
      <w:r w:rsidRPr="006D2A25">
        <w:rPr>
          <w:rFonts w:ascii="Times New Roman" w:hAnsi="Times New Roman" w:cs="Times New Roman"/>
        </w:rPr>
        <w:t>resinicization</w:t>
      </w:r>
      <w:proofErr w:type="spellEnd"/>
      <w:r w:rsidRPr="006D2A25">
        <w:rPr>
          <w:rFonts w:ascii="Times New Roman" w:hAnsi="Times New Roman" w:cs="Times New Roman"/>
        </w:rPr>
        <w:t>” among Chinese communities outside China (</w:t>
      </w:r>
      <w:proofErr w:type="spellStart"/>
      <w:r w:rsidRPr="006D2A25">
        <w:rPr>
          <w:rFonts w:ascii="Times New Roman" w:hAnsi="Times New Roman" w:cs="Times New Roman"/>
        </w:rPr>
        <w:t>Hau</w:t>
      </w:r>
      <w:proofErr w:type="spellEnd"/>
      <w:r w:rsidRPr="006D2A25">
        <w:rPr>
          <w:rFonts w:ascii="Times New Roman" w:hAnsi="Times New Roman" w:cs="Times New Roman"/>
        </w:rPr>
        <w:t> </w:t>
      </w:r>
      <w:r w:rsidRPr="006D2A25">
        <w:rPr>
          <w:rStyle w:val="ref-lnk"/>
          <w:rFonts w:ascii="Times New Roman" w:hAnsi="Times New Roman" w:cs="Times New Roman"/>
          <w:color w:val="333333"/>
          <w:sz w:val="26"/>
          <w:szCs w:val="26"/>
        </w:rPr>
        <w:t>2012</w:t>
      </w:r>
      <w:r w:rsidRPr="006D2A25">
        <w:rPr>
          <w:rFonts w:ascii="Times New Roman" w:hAnsi="Times New Roman" w:cs="Times New Roman"/>
        </w:rPr>
        <w:t xml:space="preserve">; </w:t>
      </w:r>
      <w:proofErr w:type="spellStart"/>
      <w:r w:rsidRPr="006D2A25">
        <w:rPr>
          <w:rFonts w:ascii="Times New Roman" w:hAnsi="Times New Roman" w:cs="Times New Roman"/>
        </w:rPr>
        <w:t>Katzenstein</w:t>
      </w:r>
      <w:proofErr w:type="spellEnd"/>
      <w:r w:rsidRPr="006D2A25">
        <w:rPr>
          <w:rFonts w:ascii="Times New Roman" w:hAnsi="Times New Roman" w:cs="Times New Roman"/>
        </w:rPr>
        <w:t> </w:t>
      </w:r>
      <w:r w:rsidRPr="006D2A25">
        <w:rPr>
          <w:rStyle w:val="ref-lnk"/>
          <w:rFonts w:ascii="Times New Roman" w:hAnsi="Times New Roman" w:cs="Times New Roman"/>
          <w:color w:val="333333"/>
          <w:sz w:val="26"/>
          <w:szCs w:val="26"/>
        </w:rPr>
        <w:t>2012</w:t>
      </w:r>
      <w:r w:rsidRPr="006D2A25">
        <w:rPr>
          <w:rFonts w:ascii="Times New Roman" w:hAnsi="Times New Roman" w:cs="Times New Roman"/>
        </w:rPr>
        <w:t>; Ma </w:t>
      </w:r>
      <w:r w:rsidRPr="006D2A25">
        <w:rPr>
          <w:rStyle w:val="ref-lnk"/>
          <w:rFonts w:ascii="Times New Roman" w:hAnsi="Times New Roman" w:cs="Times New Roman"/>
          <w:color w:val="333333"/>
          <w:sz w:val="26"/>
          <w:szCs w:val="26"/>
        </w:rPr>
        <w:t>1999</w:t>
      </w:r>
      <w:r w:rsidRPr="006D2A25">
        <w:rPr>
          <w:rFonts w:ascii="Times New Roman" w:hAnsi="Times New Roman" w:cs="Times New Roman"/>
        </w:rPr>
        <w:t xml:space="preserve">; </w:t>
      </w:r>
      <w:proofErr w:type="spellStart"/>
      <w:r w:rsidRPr="006D2A25">
        <w:rPr>
          <w:rFonts w:ascii="Times New Roman" w:hAnsi="Times New Roman" w:cs="Times New Roman"/>
        </w:rPr>
        <w:t>Tjon</w:t>
      </w:r>
      <w:proofErr w:type="spellEnd"/>
      <w:r w:rsidRPr="006D2A25">
        <w:rPr>
          <w:rFonts w:ascii="Times New Roman" w:hAnsi="Times New Roman" w:cs="Times New Roman"/>
        </w:rPr>
        <w:t xml:space="preserve"> </w:t>
      </w:r>
      <w:proofErr w:type="spellStart"/>
      <w:r w:rsidRPr="006D2A25">
        <w:rPr>
          <w:rFonts w:ascii="Times New Roman" w:hAnsi="Times New Roman" w:cs="Times New Roman"/>
        </w:rPr>
        <w:t>Sie</w:t>
      </w:r>
      <w:proofErr w:type="spellEnd"/>
      <w:r w:rsidRPr="006D2A25">
        <w:rPr>
          <w:rFonts w:ascii="Times New Roman" w:hAnsi="Times New Roman" w:cs="Times New Roman"/>
        </w:rPr>
        <w:t xml:space="preserve"> Fat </w:t>
      </w:r>
      <w:r w:rsidRPr="006D2A25">
        <w:rPr>
          <w:rStyle w:val="ref-lnk"/>
          <w:rFonts w:ascii="Times New Roman" w:hAnsi="Times New Roman" w:cs="Times New Roman"/>
          <w:color w:val="333333"/>
          <w:sz w:val="26"/>
          <w:szCs w:val="26"/>
        </w:rPr>
        <w:t>2009</w:t>
      </w:r>
      <w:r w:rsidRPr="006D2A25">
        <w:rPr>
          <w:rFonts w:ascii="Times New Roman" w:hAnsi="Times New Roman" w:cs="Times New Roman"/>
        </w:rPr>
        <w:t>) who reinvent, rediscover and revive “</w:t>
      </w:r>
      <w:proofErr w:type="spellStart"/>
      <w:r w:rsidRPr="006D2A25">
        <w:rPr>
          <w:rFonts w:ascii="Times New Roman" w:hAnsi="Times New Roman" w:cs="Times New Roman"/>
        </w:rPr>
        <w:t>Chineseness</w:t>
      </w:r>
      <w:proofErr w:type="spellEnd"/>
      <w:r w:rsidRPr="006D2A25">
        <w:rPr>
          <w:rFonts w:ascii="Times New Roman" w:hAnsi="Times New Roman" w:cs="Times New Roman"/>
        </w:rPr>
        <w:t xml:space="preserve">” which has hitherto been devalued and repressed, while others consider the “Chinese” label inappropriate to refer to localized Chinese and propose that </w:t>
      </w:r>
      <w:proofErr w:type="spellStart"/>
      <w:r w:rsidRPr="006D2A25">
        <w:rPr>
          <w:rFonts w:ascii="Times New Roman" w:hAnsi="Times New Roman" w:cs="Times New Roman"/>
        </w:rPr>
        <w:t>Chineseness</w:t>
      </w:r>
      <w:proofErr w:type="spellEnd"/>
      <w:r w:rsidRPr="006D2A25">
        <w:rPr>
          <w:rFonts w:ascii="Times New Roman" w:hAnsi="Times New Roman" w:cs="Times New Roman"/>
        </w:rPr>
        <w:t xml:space="preserve"> should be unbounded from statist and racialized definitions of culture in and outside China (Reid </w:t>
      </w:r>
      <w:r w:rsidRPr="006D2A25">
        <w:rPr>
          <w:rStyle w:val="ref-lnk"/>
          <w:rFonts w:ascii="Times New Roman" w:hAnsi="Times New Roman" w:cs="Times New Roman"/>
          <w:color w:val="333333"/>
          <w:sz w:val="26"/>
          <w:szCs w:val="26"/>
        </w:rPr>
        <w:t>2009a</w:t>
      </w:r>
      <w:r w:rsidRPr="006D2A25">
        <w:rPr>
          <w:rFonts w:ascii="Times New Roman" w:hAnsi="Times New Roman" w:cs="Times New Roman"/>
        </w:rPr>
        <w:t>; </w:t>
      </w:r>
      <w:r w:rsidRPr="006D2A25">
        <w:rPr>
          <w:rStyle w:val="ref-lnk"/>
          <w:rFonts w:ascii="Times New Roman" w:hAnsi="Times New Roman" w:cs="Times New Roman"/>
          <w:color w:val="333333"/>
          <w:sz w:val="26"/>
          <w:szCs w:val="26"/>
        </w:rPr>
        <w:t>2009b</w:t>
      </w:r>
      <w:r w:rsidRPr="006D2A25">
        <w:rPr>
          <w:rFonts w:ascii="Times New Roman" w:hAnsi="Times New Roman" w:cs="Times New Roman"/>
        </w:rPr>
        <w:t>).</w:t>
      </w:r>
    </w:p>
    <w:p w:rsidR="00A91AD7" w:rsidRPr="006D2A25" w:rsidRDefault="00A91AD7" w:rsidP="00A91AD7">
      <w:pPr>
        <w:ind w:firstLine="480"/>
        <w:rPr>
          <w:rFonts w:ascii="Times New Roman" w:hAnsi="Times New Roman" w:cs="Times New Roman"/>
        </w:rPr>
      </w:pPr>
      <w:r w:rsidRPr="006D2A25">
        <w:rPr>
          <w:rFonts w:ascii="Times New Roman" w:hAnsi="Times New Roman" w:cs="Times New Roman"/>
        </w:rPr>
        <w:t xml:space="preserve">Reflecting the intensity of intercontinental movement and migration, studies reaching beyond </w:t>
      </w:r>
      <w:r w:rsidRPr="006D2A25">
        <w:rPr>
          <w:rFonts w:ascii="Times New Roman" w:hAnsi="Times New Roman" w:cs="Times New Roman"/>
        </w:rPr>
        <w:lastRenderedPageBreak/>
        <w:t xml:space="preserve">“the local” and “national” have become popular. </w:t>
      </w:r>
      <w:proofErr w:type="spellStart"/>
      <w:r w:rsidRPr="006D2A25">
        <w:rPr>
          <w:rFonts w:ascii="Times New Roman" w:hAnsi="Times New Roman" w:cs="Times New Roman"/>
        </w:rPr>
        <w:t>Translocal</w:t>
      </w:r>
      <w:proofErr w:type="spellEnd"/>
      <w:r w:rsidRPr="006D2A25">
        <w:rPr>
          <w:rFonts w:ascii="Times New Roman" w:hAnsi="Times New Roman" w:cs="Times New Roman"/>
        </w:rPr>
        <w:t xml:space="preserve"> or transnational approaches unpack the bounded character and limitations of the nation-state framework, highlighting historical and contemporary flows, </w:t>
      </w:r>
      <w:proofErr w:type="spellStart"/>
      <w:r w:rsidRPr="006D2A25">
        <w:rPr>
          <w:rFonts w:ascii="Times New Roman" w:hAnsi="Times New Roman" w:cs="Times New Roman"/>
        </w:rPr>
        <w:t>mobilities</w:t>
      </w:r>
      <w:proofErr w:type="spellEnd"/>
      <w:r w:rsidRPr="006D2A25">
        <w:rPr>
          <w:rFonts w:ascii="Times New Roman" w:hAnsi="Times New Roman" w:cs="Times New Roman"/>
        </w:rPr>
        <w:t>, interconnectivity, circulations and networks that exist on multiple scales amongst dispersed Chinese communities (</w:t>
      </w:r>
      <w:proofErr w:type="spellStart"/>
      <w:r w:rsidRPr="006D2A25">
        <w:rPr>
          <w:rFonts w:ascii="Times New Roman" w:hAnsi="Times New Roman" w:cs="Times New Roman"/>
        </w:rPr>
        <w:t>McKeown</w:t>
      </w:r>
      <w:proofErr w:type="spellEnd"/>
      <w:r w:rsidRPr="006D2A25">
        <w:rPr>
          <w:rFonts w:ascii="Times New Roman" w:hAnsi="Times New Roman" w:cs="Times New Roman"/>
        </w:rPr>
        <w:t> </w:t>
      </w:r>
      <w:r w:rsidRPr="006D2A25">
        <w:rPr>
          <w:rStyle w:val="ref-lnk"/>
          <w:rFonts w:ascii="Times New Roman" w:hAnsi="Times New Roman" w:cs="Times New Roman"/>
          <w:color w:val="333333"/>
          <w:sz w:val="26"/>
          <w:szCs w:val="26"/>
        </w:rPr>
        <w:t>2001</w:t>
      </w:r>
      <w:r w:rsidRPr="006D2A25">
        <w:rPr>
          <w:rFonts w:ascii="Times New Roman" w:hAnsi="Times New Roman" w:cs="Times New Roman"/>
        </w:rPr>
        <w:t xml:space="preserve">; Ong and </w:t>
      </w:r>
      <w:proofErr w:type="spellStart"/>
      <w:r w:rsidRPr="006D2A25">
        <w:rPr>
          <w:rFonts w:ascii="Times New Roman" w:hAnsi="Times New Roman" w:cs="Times New Roman"/>
        </w:rPr>
        <w:t>Nonini</w:t>
      </w:r>
      <w:proofErr w:type="spellEnd"/>
      <w:r w:rsidRPr="006D2A25">
        <w:rPr>
          <w:rFonts w:ascii="Times New Roman" w:hAnsi="Times New Roman" w:cs="Times New Roman"/>
        </w:rPr>
        <w:t> </w:t>
      </w:r>
      <w:r w:rsidRPr="006D2A25">
        <w:rPr>
          <w:rStyle w:val="ref-lnk"/>
          <w:rFonts w:ascii="Times New Roman" w:hAnsi="Times New Roman" w:cs="Times New Roman"/>
          <w:color w:val="333333"/>
          <w:sz w:val="26"/>
          <w:szCs w:val="26"/>
        </w:rPr>
        <w:t>1997</w:t>
      </w:r>
      <w:r w:rsidRPr="006D2A25">
        <w:rPr>
          <w:rFonts w:ascii="Times New Roman" w:hAnsi="Times New Roman" w:cs="Times New Roman"/>
        </w:rPr>
        <w:t xml:space="preserve">; </w:t>
      </w:r>
      <w:proofErr w:type="spellStart"/>
      <w:r w:rsidRPr="006D2A25">
        <w:rPr>
          <w:rFonts w:ascii="Times New Roman" w:hAnsi="Times New Roman" w:cs="Times New Roman"/>
        </w:rPr>
        <w:t>Riemenschnitter</w:t>
      </w:r>
      <w:proofErr w:type="spellEnd"/>
      <w:r w:rsidRPr="006D2A25">
        <w:rPr>
          <w:rFonts w:ascii="Times New Roman" w:hAnsi="Times New Roman" w:cs="Times New Roman"/>
        </w:rPr>
        <w:t xml:space="preserve"> and Madsen </w:t>
      </w:r>
      <w:r w:rsidRPr="006D2A25">
        <w:rPr>
          <w:rStyle w:val="ref-lnk"/>
          <w:rFonts w:ascii="Times New Roman" w:hAnsi="Times New Roman" w:cs="Times New Roman"/>
          <w:color w:val="333333"/>
          <w:sz w:val="26"/>
          <w:szCs w:val="26"/>
        </w:rPr>
        <w:t>2009</w:t>
      </w:r>
      <w:r w:rsidRPr="006D2A25">
        <w:rPr>
          <w:rFonts w:ascii="Times New Roman" w:hAnsi="Times New Roman" w:cs="Times New Roman"/>
        </w:rPr>
        <w:t xml:space="preserve">; </w:t>
      </w:r>
      <w:proofErr w:type="spellStart"/>
      <w:r w:rsidRPr="006D2A25">
        <w:rPr>
          <w:rFonts w:ascii="Times New Roman" w:hAnsi="Times New Roman" w:cs="Times New Roman"/>
        </w:rPr>
        <w:t>Tagliacozzo</w:t>
      </w:r>
      <w:proofErr w:type="spellEnd"/>
      <w:r w:rsidRPr="006D2A25">
        <w:rPr>
          <w:rFonts w:ascii="Times New Roman" w:hAnsi="Times New Roman" w:cs="Times New Roman"/>
        </w:rPr>
        <w:t xml:space="preserve"> and Chang </w:t>
      </w:r>
      <w:r w:rsidRPr="006D2A25">
        <w:rPr>
          <w:rStyle w:val="ref-lnk"/>
          <w:rFonts w:ascii="Times New Roman" w:hAnsi="Times New Roman" w:cs="Times New Roman"/>
          <w:color w:val="333333"/>
          <w:sz w:val="26"/>
          <w:szCs w:val="26"/>
        </w:rPr>
        <w:t>2011</w:t>
      </w:r>
      <w:r w:rsidRPr="006D2A25">
        <w:rPr>
          <w:rFonts w:ascii="Times New Roman" w:hAnsi="Times New Roman" w:cs="Times New Roman"/>
        </w:rPr>
        <w:t xml:space="preserve">). Scholars also describe Chinese transnationalism as an “alternative modernity” different from other capitalist formations (Ong and </w:t>
      </w:r>
      <w:proofErr w:type="spellStart"/>
      <w:r w:rsidRPr="006D2A25">
        <w:rPr>
          <w:rFonts w:ascii="Times New Roman" w:hAnsi="Times New Roman" w:cs="Times New Roman"/>
        </w:rPr>
        <w:t>Nonini</w:t>
      </w:r>
      <w:proofErr w:type="spellEnd"/>
      <w:r w:rsidRPr="006D2A25">
        <w:rPr>
          <w:rFonts w:ascii="Times New Roman" w:hAnsi="Times New Roman" w:cs="Times New Roman"/>
        </w:rPr>
        <w:t> </w:t>
      </w:r>
      <w:r w:rsidRPr="006D2A25">
        <w:rPr>
          <w:rStyle w:val="ref-lnk"/>
          <w:rFonts w:ascii="Times New Roman" w:hAnsi="Times New Roman" w:cs="Times New Roman"/>
          <w:color w:val="333333"/>
          <w:sz w:val="26"/>
          <w:szCs w:val="26"/>
        </w:rPr>
        <w:t>1997</w:t>
      </w:r>
      <w:r w:rsidRPr="006D2A25">
        <w:rPr>
          <w:rFonts w:ascii="Times New Roman" w:hAnsi="Times New Roman" w:cs="Times New Roman"/>
        </w:rPr>
        <w:t xml:space="preserve">). Above all, we continue to debate and disagree on the relevance and validity of old and new terminology, especially “Overseas Chinese,” “the Chinese diaspora,” “Greater China,” “Cultural China” and of late, “global </w:t>
      </w:r>
      <w:proofErr w:type="spellStart"/>
      <w:r w:rsidRPr="006D2A25">
        <w:rPr>
          <w:rFonts w:ascii="Times New Roman" w:hAnsi="Times New Roman" w:cs="Times New Roman"/>
        </w:rPr>
        <w:t>Chineseness</w:t>
      </w:r>
      <w:proofErr w:type="spellEnd"/>
      <w:r w:rsidRPr="006D2A25">
        <w:rPr>
          <w:rFonts w:ascii="Times New Roman" w:hAnsi="Times New Roman" w:cs="Times New Roman"/>
        </w:rPr>
        <w:t xml:space="preserve">” and “the </w:t>
      </w:r>
      <w:proofErr w:type="spellStart"/>
      <w:r w:rsidRPr="006D2A25">
        <w:rPr>
          <w:rFonts w:ascii="Times New Roman" w:hAnsi="Times New Roman" w:cs="Times New Roman"/>
        </w:rPr>
        <w:t>Sinophone</w:t>
      </w:r>
      <w:proofErr w:type="spellEnd"/>
      <w:r w:rsidRPr="006D2A25">
        <w:rPr>
          <w:rFonts w:ascii="Times New Roman" w:hAnsi="Times New Roman" w:cs="Times New Roman"/>
        </w:rPr>
        <w:t>.”</w:t>
      </w:r>
    </w:p>
    <w:p w:rsidR="00A91AD7" w:rsidRPr="006D2A25" w:rsidRDefault="00A91AD7" w:rsidP="00A91AD7">
      <w:pPr>
        <w:ind w:firstLine="480"/>
        <w:rPr>
          <w:rFonts w:ascii="Times New Roman" w:hAnsi="Times New Roman" w:cs="Times New Roman"/>
        </w:rPr>
      </w:pPr>
      <w:r w:rsidRPr="006D2A25">
        <w:rPr>
          <w:rFonts w:ascii="Times New Roman" w:hAnsi="Times New Roman" w:cs="Times New Roman"/>
        </w:rPr>
        <w:t xml:space="preserve">Studies of </w:t>
      </w:r>
      <w:proofErr w:type="spellStart"/>
      <w:r w:rsidRPr="006D2A25">
        <w:rPr>
          <w:rFonts w:ascii="Times New Roman" w:hAnsi="Times New Roman" w:cs="Times New Roman"/>
        </w:rPr>
        <w:t>Chineseness</w:t>
      </w:r>
      <w:proofErr w:type="spellEnd"/>
      <w:r w:rsidRPr="006D2A25">
        <w:rPr>
          <w:rFonts w:ascii="Times New Roman" w:hAnsi="Times New Roman" w:cs="Times New Roman"/>
        </w:rPr>
        <w:t xml:space="preserve"> are complicated further by the spectacular transformation of mainland China. In recent years, heightened sensitivity over the PRC’s global “influence” operations, its attempts to recruit individuals and communities of Chinese descent to the “China Dream,” as well as the trade war between China and America threaten to return the world to what has been called a “new Cold War.” People and communities who self-identify as “Chinese,” as well as researchers who study them, now confront a PRC that is a powerful driver of the changing global order and propagandizing authoritative narratives on what constitutes “Chinese” language, culture, ethnicity and identity. The PRC has moved towards blurring the categorical distinctions between </w:t>
      </w:r>
      <w:proofErr w:type="spellStart"/>
      <w:r w:rsidRPr="006D2A25">
        <w:rPr>
          <w:rFonts w:ascii="Times New Roman" w:hAnsi="Times New Roman" w:cs="Times New Roman"/>
          <w:i/>
          <w:iCs/>
        </w:rPr>
        <w:t>huaqiao</w:t>
      </w:r>
      <w:proofErr w:type="spellEnd"/>
      <w:r w:rsidRPr="006D2A25">
        <w:rPr>
          <w:rFonts w:ascii="Times New Roman" w:hAnsi="Times New Roman" w:cs="Times New Roman"/>
        </w:rPr>
        <w:t> (sojourners residing overseas), </w:t>
      </w:r>
      <w:proofErr w:type="spellStart"/>
      <w:r w:rsidRPr="006D2A25">
        <w:rPr>
          <w:rFonts w:ascii="Times New Roman" w:hAnsi="Times New Roman" w:cs="Times New Roman"/>
          <w:i/>
          <w:iCs/>
        </w:rPr>
        <w:t>huaren</w:t>
      </w:r>
      <w:proofErr w:type="spellEnd"/>
      <w:r w:rsidRPr="006D2A25">
        <w:rPr>
          <w:rFonts w:ascii="Times New Roman" w:hAnsi="Times New Roman" w:cs="Times New Roman"/>
        </w:rPr>
        <w:t> (ethnic Chinese), </w:t>
      </w:r>
      <w:proofErr w:type="spellStart"/>
      <w:r w:rsidRPr="006D2A25">
        <w:rPr>
          <w:rFonts w:ascii="Times New Roman" w:hAnsi="Times New Roman" w:cs="Times New Roman"/>
          <w:i/>
          <w:iCs/>
        </w:rPr>
        <w:t>huayi</w:t>
      </w:r>
      <w:proofErr w:type="spellEnd"/>
      <w:r w:rsidRPr="006D2A25">
        <w:rPr>
          <w:rFonts w:ascii="Times New Roman" w:hAnsi="Times New Roman" w:cs="Times New Roman"/>
        </w:rPr>
        <w:t> (descendants of Chinese as local nationals) and </w:t>
      </w:r>
      <w:proofErr w:type="spellStart"/>
      <w:r w:rsidRPr="006D2A25">
        <w:rPr>
          <w:rFonts w:ascii="Times New Roman" w:hAnsi="Times New Roman" w:cs="Times New Roman"/>
          <w:i/>
          <w:iCs/>
        </w:rPr>
        <w:t>xin</w:t>
      </w:r>
      <w:proofErr w:type="spellEnd"/>
      <w:r w:rsidRPr="006D2A25">
        <w:rPr>
          <w:rFonts w:ascii="Times New Roman" w:hAnsi="Times New Roman" w:cs="Times New Roman"/>
          <w:i/>
          <w:iCs/>
        </w:rPr>
        <w:t xml:space="preserve"> </w:t>
      </w:r>
      <w:proofErr w:type="spellStart"/>
      <w:r w:rsidRPr="006D2A25">
        <w:rPr>
          <w:rFonts w:ascii="Times New Roman" w:hAnsi="Times New Roman" w:cs="Times New Roman"/>
          <w:i/>
          <w:iCs/>
        </w:rPr>
        <w:t>yimin</w:t>
      </w:r>
      <w:proofErr w:type="spellEnd"/>
      <w:r w:rsidRPr="006D2A25">
        <w:rPr>
          <w:rFonts w:ascii="Times New Roman" w:hAnsi="Times New Roman" w:cs="Times New Roman"/>
        </w:rPr>
        <w:t> (new Chinese migrants) as it attempts to redefine all of them as a more or less one homogenous group of </w:t>
      </w:r>
      <w:proofErr w:type="spellStart"/>
      <w:r w:rsidRPr="006D2A25">
        <w:rPr>
          <w:rFonts w:ascii="Times New Roman" w:hAnsi="Times New Roman" w:cs="Times New Roman"/>
          <w:i/>
          <w:iCs/>
        </w:rPr>
        <w:t>haiwai</w:t>
      </w:r>
      <w:proofErr w:type="spellEnd"/>
      <w:r w:rsidRPr="006D2A25">
        <w:rPr>
          <w:rFonts w:ascii="Times New Roman" w:hAnsi="Times New Roman" w:cs="Times New Roman"/>
          <w:i/>
          <w:iCs/>
        </w:rPr>
        <w:t xml:space="preserve"> </w:t>
      </w:r>
      <w:proofErr w:type="spellStart"/>
      <w:r w:rsidRPr="006D2A25">
        <w:rPr>
          <w:rFonts w:ascii="Times New Roman" w:hAnsi="Times New Roman" w:cs="Times New Roman"/>
          <w:i/>
          <w:iCs/>
        </w:rPr>
        <w:t>qiaobao</w:t>
      </w:r>
      <w:proofErr w:type="spellEnd"/>
      <w:r w:rsidRPr="006D2A25">
        <w:rPr>
          <w:rFonts w:ascii="Times New Roman" w:hAnsi="Times New Roman" w:cs="Times New Roman"/>
        </w:rPr>
        <w:t> (overseas compatriots). Scholars, particularly those from Southeast Asia, have criticized this move, arguing that PRC’s policy could cause ethnic tensions and undermine domestic political and economic stability (</w:t>
      </w:r>
      <w:proofErr w:type="spellStart"/>
      <w:r w:rsidRPr="006D2A25">
        <w:rPr>
          <w:rFonts w:ascii="Times New Roman" w:hAnsi="Times New Roman" w:cs="Times New Roman"/>
        </w:rPr>
        <w:t>Suryadinata</w:t>
      </w:r>
      <w:proofErr w:type="spellEnd"/>
      <w:r w:rsidRPr="006D2A25">
        <w:rPr>
          <w:rFonts w:ascii="Times New Roman" w:hAnsi="Times New Roman" w:cs="Times New Roman"/>
        </w:rPr>
        <w:t> </w:t>
      </w:r>
      <w:r w:rsidRPr="006D2A25">
        <w:rPr>
          <w:rStyle w:val="ref-lnk"/>
          <w:rFonts w:ascii="Times New Roman" w:hAnsi="Times New Roman" w:cs="Times New Roman"/>
          <w:color w:val="333333"/>
          <w:sz w:val="26"/>
          <w:szCs w:val="26"/>
        </w:rPr>
        <w:t>2020</w:t>
      </w:r>
      <w:r w:rsidRPr="006D2A25">
        <w:rPr>
          <w:rFonts w:ascii="Times New Roman" w:hAnsi="Times New Roman" w:cs="Times New Roman"/>
        </w:rPr>
        <w:t>; </w:t>
      </w:r>
      <w:r w:rsidRPr="006D2A25">
        <w:rPr>
          <w:rStyle w:val="ref-lnk"/>
          <w:rFonts w:ascii="Times New Roman" w:hAnsi="Times New Roman" w:cs="Times New Roman"/>
          <w:color w:val="333333"/>
          <w:sz w:val="26"/>
          <w:szCs w:val="26"/>
        </w:rPr>
        <w:t>2021</w:t>
      </w:r>
      <w:r w:rsidRPr="006D2A25">
        <w:rPr>
          <w:rFonts w:ascii="Times New Roman" w:hAnsi="Times New Roman" w:cs="Times New Roman"/>
        </w:rPr>
        <w:t>).</w:t>
      </w:r>
    </w:p>
    <w:p w:rsidR="00A91AD7" w:rsidRPr="006D2A25" w:rsidRDefault="00A91AD7" w:rsidP="00A91AD7">
      <w:pPr>
        <w:ind w:firstLine="480"/>
        <w:rPr>
          <w:rFonts w:ascii="Times New Roman" w:hAnsi="Times New Roman" w:cs="Times New Roman"/>
        </w:rPr>
      </w:pPr>
      <w:r w:rsidRPr="006D2A25">
        <w:rPr>
          <w:rFonts w:ascii="Times New Roman" w:hAnsi="Times New Roman" w:cs="Times New Roman"/>
        </w:rPr>
        <w:t xml:space="preserve">Against this backdrop of greater anxiety, contestation and uncertainty over the politicization of </w:t>
      </w:r>
      <w:proofErr w:type="spellStart"/>
      <w:r w:rsidRPr="006D2A25">
        <w:rPr>
          <w:rFonts w:ascii="Times New Roman" w:hAnsi="Times New Roman" w:cs="Times New Roman"/>
        </w:rPr>
        <w:t>Chineseness</w:t>
      </w:r>
      <w:proofErr w:type="spellEnd"/>
      <w:r w:rsidRPr="006D2A25">
        <w:rPr>
          <w:rFonts w:ascii="Times New Roman" w:hAnsi="Times New Roman" w:cs="Times New Roman"/>
        </w:rPr>
        <w:t xml:space="preserve"> as part of a purported civilizational clash on a global scale, this special issue brings together scholars in the fields of history, literature, language and religion in an attempt to think through what we have accomplished collectively as a field of study, and more importantly, how and where we can move from here. Reflecting the specialization of the individual authors, we have scoped the volume to focus on cultural history rather than on contemporary events of geopolitical and economic significance as the newly emergent PRC asserts itself. Featuring perspectives from the southern hemisphere, the volume continues the critical bent of interrogating the diaspora from the South to unpack narratives premised on the idea of continental China as the privileged site of authentic </w:t>
      </w:r>
      <w:proofErr w:type="spellStart"/>
      <w:r w:rsidRPr="006D2A25">
        <w:rPr>
          <w:rFonts w:ascii="Times New Roman" w:hAnsi="Times New Roman" w:cs="Times New Roman"/>
        </w:rPr>
        <w:t>Chineseness</w:t>
      </w:r>
      <w:proofErr w:type="spellEnd"/>
      <w:r w:rsidRPr="006D2A25">
        <w:rPr>
          <w:rFonts w:ascii="Times New Roman" w:hAnsi="Times New Roman" w:cs="Times New Roman"/>
        </w:rPr>
        <w:t>.</w:t>
      </w:r>
    </w:p>
    <w:p w:rsidR="00CF2058" w:rsidRPr="00CF2058" w:rsidRDefault="00CF2058" w:rsidP="00CF2058">
      <w:pPr>
        <w:pStyle w:val="a3"/>
        <w:ind w:leftChars="0" w:left="720"/>
        <w:jc w:val="both"/>
        <w:rPr>
          <w:rFonts w:ascii="Times New Roman" w:eastAsia="標楷體" w:hAnsi="Times New Roman" w:cs="Times New Roman"/>
          <w:szCs w:val="24"/>
        </w:rPr>
      </w:pPr>
    </w:p>
    <w:p w:rsidR="00CF2058" w:rsidRDefault="00CF2058" w:rsidP="00CF2058">
      <w:pPr>
        <w:pStyle w:val="a3"/>
        <w:ind w:leftChars="0" w:left="720"/>
        <w:jc w:val="both"/>
        <w:rPr>
          <w:rFonts w:ascii="Times New Roman" w:eastAsia="標楷體" w:hAnsi="Times New Roman" w:cs="Times New Roman"/>
          <w:szCs w:val="24"/>
        </w:rPr>
      </w:pPr>
    </w:p>
    <w:p w:rsidR="001747D2" w:rsidRDefault="001747D2" w:rsidP="00CF2058">
      <w:pPr>
        <w:pStyle w:val="a3"/>
        <w:ind w:leftChars="0" w:left="720"/>
        <w:jc w:val="both"/>
        <w:rPr>
          <w:rFonts w:ascii="Times New Roman" w:eastAsia="標楷體" w:hAnsi="Times New Roman" w:cs="Times New Roman"/>
          <w:szCs w:val="24"/>
        </w:rPr>
      </w:pPr>
    </w:p>
    <w:p w:rsidR="001747D2" w:rsidRDefault="001747D2" w:rsidP="00CF2058">
      <w:pPr>
        <w:pStyle w:val="a3"/>
        <w:ind w:leftChars="0" w:left="720"/>
        <w:jc w:val="both"/>
        <w:rPr>
          <w:rFonts w:ascii="Times New Roman" w:eastAsia="標楷體" w:hAnsi="Times New Roman" w:cs="Times New Roman"/>
          <w:szCs w:val="24"/>
        </w:rPr>
      </w:pPr>
    </w:p>
    <w:p w:rsidR="001747D2" w:rsidRPr="00CF2058" w:rsidRDefault="001747D2" w:rsidP="00CF2058">
      <w:pPr>
        <w:pStyle w:val="a3"/>
        <w:ind w:leftChars="0" w:left="720"/>
        <w:jc w:val="both"/>
        <w:rPr>
          <w:rFonts w:ascii="Times New Roman" w:eastAsia="標楷體" w:hAnsi="Times New Roman" w:cs="Times New Roman"/>
          <w:szCs w:val="24"/>
        </w:rPr>
      </w:pPr>
    </w:p>
    <w:p w:rsidR="00CF2058" w:rsidRPr="00CF2058" w:rsidRDefault="00CF2058" w:rsidP="00CF2058">
      <w:pPr>
        <w:pStyle w:val="a3"/>
        <w:numPr>
          <w:ilvl w:val="0"/>
          <w:numId w:val="1"/>
        </w:numPr>
        <w:ind w:leftChars="0"/>
        <w:jc w:val="both"/>
        <w:rPr>
          <w:rFonts w:ascii="Times New Roman" w:eastAsia="標楷體" w:hAnsi="Times New Roman" w:cs="Times New Roman"/>
          <w:b/>
          <w:szCs w:val="24"/>
        </w:rPr>
      </w:pPr>
      <w:r w:rsidRPr="00CF2058">
        <w:rPr>
          <w:rFonts w:ascii="Times New Roman" w:eastAsia="標楷體" w:hAnsi="Times New Roman" w:cs="Times New Roman"/>
          <w:b/>
          <w:szCs w:val="24"/>
        </w:rPr>
        <w:lastRenderedPageBreak/>
        <w:t>Specialization Question</w:t>
      </w:r>
    </w:p>
    <w:p w:rsidR="00EA7628" w:rsidRPr="008B1FE0" w:rsidRDefault="008B1FE0" w:rsidP="00CF2058">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8711E8">
        <w:rPr>
          <w:rFonts w:ascii="Times New Roman" w:eastAsia="標楷體" w:hAnsi="Times New Roman" w:cs="Times New Roman"/>
          <w:b/>
          <w:szCs w:val="24"/>
          <w:highlight w:val="cyan"/>
        </w:rPr>
        <w:t>Critical Theory and Asian Modernity</w:t>
      </w:r>
      <w:r w:rsidRPr="00CF2058">
        <w:rPr>
          <w:rFonts w:ascii="Times New Roman" w:eastAsia="標楷體" w:hAnsi="Times New Roman" w:cs="Times New Roman"/>
          <w:b/>
          <w:szCs w:val="24"/>
        </w:rPr>
        <w:t xml:space="preserve"> </w:t>
      </w:r>
    </w:p>
    <w:p w:rsidR="00A91AD7" w:rsidRPr="001747D2" w:rsidRDefault="00A91AD7" w:rsidP="00A91AD7">
      <w:pPr>
        <w:rPr>
          <w:rFonts w:ascii="Times New Roman" w:hAnsi="Times New Roman" w:cs="Times New Roman"/>
        </w:rPr>
      </w:pPr>
      <w:r w:rsidRPr="001747D2">
        <w:rPr>
          <w:rFonts w:ascii="Times New Roman" w:hAnsi="Times New Roman" w:cs="Times New Roman"/>
        </w:rPr>
        <w:t xml:space="preserve">This search for a better way to attend to our relations to that which lies beyond the human, especially that part of the world beyond the human that is alive, forces us to make ontological claims – claims, that is, about the nature of reality. That, for example, jaguars in some way or other represent the world demand a general explanation that takes onto account certain insights about the way the world is – insights that are </w:t>
      </w:r>
      <w:proofErr w:type="spellStart"/>
      <w:r w:rsidRPr="001747D2">
        <w:rPr>
          <w:rFonts w:ascii="Times New Roman" w:hAnsi="Times New Roman" w:cs="Times New Roman"/>
        </w:rPr>
        <w:t>gererated</w:t>
      </w:r>
      <w:proofErr w:type="spellEnd"/>
      <w:r w:rsidRPr="001747D2">
        <w:rPr>
          <w:rFonts w:ascii="Times New Roman" w:hAnsi="Times New Roman" w:cs="Times New Roman"/>
        </w:rPr>
        <w:t xml:space="preserve"> from attention to engagements </w:t>
      </w:r>
      <w:proofErr w:type="spellStart"/>
      <w:r w:rsidRPr="001747D2">
        <w:rPr>
          <w:rFonts w:ascii="Times New Roman" w:hAnsi="Times New Roman" w:cs="Times New Roman"/>
        </w:rPr>
        <w:t>woth</w:t>
      </w:r>
      <w:proofErr w:type="spellEnd"/>
      <w:r w:rsidRPr="001747D2">
        <w:rPr>
          <w:rFonts w:ascii="Times New Roman" w:hAnsi="Times New Roman" w:cs="Times New Roman"/>
        </w:rPr>
        <w:t xml:space="preserve"> nonhumans and that are thus not fully circumscribed by any particular human system of understanding them. </w:t>
      </w:r>
    </w:p>
    <w:p w:rsidR="00A91AD7" w:rsidRPr="001747D2" w:rsidRDefault="00A91AD7" w:rsidP="00A91AD7">
      <w:pPr>
        <w:rPr>
          <w:rFonts w:ascii="Times New Roman" w:hAnsi="Times New Roman" w:cs="Times New Roman"/>
        </w:rPr>
      </w:pPr>
    </w:p>
    <w:p w:rsidR="00A91AD7" w:rsidRPr="001747D2" w:rsidRDefault="00A91AD7" w:rsidP="001747D2">
      <w:pPr>
        <w:jc w:val="right"/>
        <w:rPr>
          <w:rFonts w:ascii="Times New Roman" w:hAnsi="Times New Roman" w:cs="Times New Roman"/>
        </w:rPr>
      </w:pPr>
      <w:r w:rsidRPr="001747D2">
        <w:rPr>
          <w:rFonts w:ascii="Times New Roman" w:hAnsi="Times New Roman" w:cs="Times New Roman"/>
        </w:rPr>
        <w:t>---Eduardo Kohn, How Forests Think: Toward an Anthropology beyond the Human</w:t>
      </w:r>
    </w:p>
    <w:p w:rsidR="00A91AD7" w:rsidRPr="001747D2" w:rsidRDefault="00A91AD7" w:rsidP="00A91AD7">
      <w:pPr>
        <w:rPr>
          <w:rFonts w:ascii="Times New Roman" w:hAnsi="Times New Roman" w:cs="Times New Roman"/>
        </w:rPr>
      </w:pPr>
    </w:p>
    <w:p w:rsidR="00A91AD7" w:rsidRPr="002F559A" w:rsidRDefault="00A91AD7" w:rsidP="00A91AD7">
      <w:pPr>
        <w:rPr>
          <w:rFonts w:ascii="Garamond" w:hAnsi="Garamond" w:cstheme="minorHAnsi"/>
        </w:rPr>
      </w:pPr>
      <w:r w:rsidRPr="002F559A">
        <w:rPr>
          <w:rFonts w:ascii="Garamond" w:hAnsi="Garamond" w:cstheme="minorHAnsi"/>
        </w:rPr>
        <w:t>Please explain what ontological claims refer to.</w:t>
      </w:r>
    </w:p>
    <w:p w:rsidR="00A91AD7" w:rsidRPr="00A91AD7" w:rsidRDefault="00A91AD7" w:rsidP="00CF2058">
      <w:pPr>
        <w:jc w:val="both"/>
        <w:rPr>
          <w:rFonts w:ascii="Times New Roman" w:hAnsi="Times New Roman" w:cs="Times New Roman"/>
        </w:rPr>
      </w:pPr>
    </w:p>
    <w:p w:rsidR="002401E0" w:rsidRPr="00CF2058" w:rsidRDefault="002401E0" w:rsidP="00CF2058">
      <w:pPr>
        <w:jc w:val="both"/>
        <w:rPr>
          <w:rFonts w:ascii="Times New Roman" w:hAnsi="Times New Roman" w:cs="Times New Roman"/>
        </w:rPr>
      </w:pPr>
    </w:p>
    <w:p w:rsidR="00CF2058" w:rsidRPr="00CF2058" w:rsidRDefault="008B1FE0" w:rsidP="00CF2058">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1747D2">
        <w:rPr>
          <w:rFonts w:ascii="Times New Roman" w:eastAsia="標楷體" w:hAnsi="Times New Roman" w:cs="Times New Roman"/>
          <w:b/>
          <w:szCs w:val="24"/>
          <w:highlight w:val="green"/>
        </w:rPr>
        <w:t>Contemporary Thought-trends and Social Movements</w:t>
      </w:r>
    </w:p>
    <w:p w:rsidR="00A91AD7" w:rsidRPr="002F559A" w:rsidRDefault="00A91AD7" w:rsidP="00A91AD7">
      <w:pPr>
        <w:jc w:val="both"/>
        <w:rPr>
          <w:rFonts w:ascii="Garamond" w:hAnsi="Garamond" w:cs="Times New Roman"/>
        </w:rPr>
      </w:pPr>
      <w:r w:rsidRPr="002F559A">
        <w:rPr>
          <w:rFonts w:ascii="Garamond" w:hAnsi="Garamond" w:cs="Times New Roman"/>
        </w:rPr>
        <w:t xml:space="preserve">Read the following excerpts from Wang, </w:t>
      </w:r>
      <w:proofErr w:type="spellStart"/>
      <w:r w:rsidRPr="002F559A">
        <w:rPr>
          <w:rFonts w:ascii="Garamond" w:hAnsi="Garamond" w:cs="Times New Roman"/>
        </w:rPr>
        <w:t>Chih</w:t>
      </w:r>
      <w:proofErr w:type="spellEnd"/>
      <w:r w:rsidRPr="002F559A">
        <w:rPr>
          <w:rFonts w:ascii="Garamond" w:hAnsi="Garamond" w:cs="Times New Roman"/>
        </w:rPr>
        <w:t>-Yuan: “Inherited, Transplanted and Reconstructed Memories of the Air Raids on Taiwan after the Second World War”, 2020.</w:t>
      </w:r>
      <w:r w:rsidRPr="002F559A">
        <w:rPr>
          <w:rFonts w:ascii="Garamond" w:hAnsi="Garamond" w:cs="Times New Roman"/>
        </w:rPr>
        <w:br/>
      </w:r>
    </w:p>
    <w:p w:rsidR="00A91AD7" w:rsidRDefault="00A91AD7" w:rsidP="00A91AD7">
      <w:pPr>
        <w:ind w:firstLineChars="200" w:firstLine="480"/>
        <w:jc w:val="both"/>
        <w:rPr>
          <w:rFonts w:ascii="Times New Roman" w:hAnsi="Times New Roman" w:cs="Times New Roman"/>
        </w:rPr>
      </w:pPr>
      <w:r>
        <w:rPr>
          <w:rFonts w:ascii="Times New Roman" w:hAnsi="Times New Roman" w:cs="Times New Roman"/>
        </w:rPr>
        <w:t>This paper examines how official frame and public memory of the bombings was formed. Taiwan was under Japanese administration rule until the end of WWII. After the Pacific War (</w:t>
      </w:r>
      <w:r>
        <w:rPr>
          <w:rFonts w:ascii="Times New Roman" w:hAnsi="Times New Roman" w:cs="Times New Roman" w:hint="eastAsia"/>
        </w:rPr>
        <w:t>太平洋戰爭</w:t>
      </w:r>
      <w:r>
        <w:rPr>
          <w:rFonts w:ascii="Times New Roman" w:hAnsi="Times New Roman" w:cs="Times New Roman"/>
        </w:rPr>
        <w:t>), Taiwanese people were mobilized for passive air defense once more but the R.O.C. government transplanted bombing of experience in Chongqing (</w:t>
      </w:r>
      <w:r>
        <w:rPr>
          <w:rFonts w:ascii="Times New Roman" w:hAnsi="Times New Roman" w:cs="Times New Roman" w:hint="eastAsia"/>
        </w:rPr>
        <w:t>重慶</w:t>
      </w:r>
      <w:r>
        <w:rPr>
          <w:rFonts w:ascii="Times New Roman" w:hAnsi="Times New Roman" w:cs="Times New Roman"/>
        </w:rPr>
        <w:t xml:space="preserve">) during the second Sino-Japanese War. The bombings of Taiwan had been ignored, with no official events to mark and memorial for dead. The memory of air raids on Taiwan gradually forgotten in the post war generation. Then, this affects the historical understanding not only of air raids themselves, but also to how and why people remember. Even though the R.O.C. government’s anti-Japanese experience was transplanted, there are many legends about gods and goddesses helped people during wartime in Taiwanese temples. The survivors of air raids thought gods and goddesses protected them against the bombs. </w:t>
      </w:r>
      <w:proofErr w:type="spellStart"/>
      <w:r>
        <w:rPr>
          <w:rFonts w:ascii="Times New Roman" w:hAnsi="Times New Roman" w:cs="Times New Roman"/>
        </w:rPr>
        <w:t>Mazu</w:t>
      </w:r>
      <w:proofErr w:type="spellEnd"/>
      <w:r>
        <w:rPr>
          <w:rFonts w:ascii="Times New Roman" w:hAnsi="Times New Roman" w:cs="Times New Roman"/>
        </w:rPr>
        <w:t xml:space="preserve"> (</w:t>
      </w:r>
      <w:r>
        <w:rPr>
          <w:rFonts w:ascii="Times New Roman" w:hAnsi="Times New Roman" w:cs="Times New Roman" w:hint="eastAsia"/>
        </w:rPr>
        <w:t>媽祖</w:t>
      </w:r>
      <w:r>
        <w:rPr>
          <w:rFonts w:ascii="Times New Roman" w:hAnsi="Times New Roman" w:cs="Times New Roman"/>
        </w:rPr>
        <w:t xml:space="preserve">) held the bombs is known to most of the people in Taiwan. The folk story of </w:t>
      </w:r>
      <w:proofErr w:type="spellStart"/>
      <w:r>
        <w:rPr>
          <w:rFonts w:ascii="Times New Roman" w:hAnsi="Times New Roman" w:cs="Times New Roman"/>
        </w:rPr>
        <w:t>Mazu</w:t>
      </w:r>
      <w:proofErr w:type="spellEnd"/>
      <w:r>
        <w:rPr>
          <w:rFonts w:ascii="Times New Roman" w:hAnsi="Times New Roman" w:cs="Times New Roman"/>
        </w:rPr>
        <w:t xml:space="preserve"> holding the bombs became unique mode to pass on the memory of air raids. The conclusion of this essay is that official frame can effectively shape how people remembering the memory of bombing. There are a lot of conflicts between official public </w:t>
      </w:r>
      <w:proofErr w:type="spellStart"/>
      <w:r>
        <w:rPr>
          <w:rFonts w:ascii="Times New Roman" w:hAnsi="Times New Roman" w:cs="Times New Roman"/>
        </w:rPr>
        <w:t>memoeries</w:t>
      </w:r>
      <w:proofErr w:type="spellEnd"/>
      <w:r>
        <w:rPr>
          <w:rFonts w:ascii="Times New Roman" w:hAnsi="Times New Roman" w:cs="Times New Roman"/>
        </w:rPr>
        <w:t xml:space="preserve"> and local history but </w:t>
      </w:r>
      <w:proofErr w:type="gramStart"/>
      <w:r>
        <w:rPr>
          <w:rFonts w:ascii="Times New Roman" w:hAnsi="Times New Roman" w:cs="Times New Roman"/>
        </w:rPr>
        <w:t>( ?</w:t>
      </w:r>
      <w:proofErr w:type="gramEnd"/>
      <w:r>
        <w:rPr>
          <w:rFonts w:ascii="Times New Roman" w:hAnsi="Times New Roman" w:cs="Times New Roman"/>
        </w:rPr>
        <w:t xml:space="preserve"> ) played a leading role to pass on wartime memories in Taiwan.</w:t>
      </w:r>
    </w:p>
    <w:p w:rsidR="001747D2" w:rsidRDefault="001747D2" w:rsidP="00A91AD7">
      <w:pPr>
        <w:ind w:firstLineChars="200" w:firstLine="480"/>
        <w:jc w:val="both"/>
        <w:rPr>
          <w:rFonts w:ascii="Times New Roman" w:hAnsi="Times New Roman" w:cs="Times New Roman"/>
        </w:rPr>
      </w:pPr>
    </w:p>
    <w:p w:rsidR="008B1FE0" w:rsidRPr="002F559A" w:rsidRDefault="00A91AD7" w:rsidP="00A91AD7">
      <w:pPr>
        <w:pStyle w:val="a3"/>
        <w:numPr>
          <w:ilvl w:val="0"/>
          <w:numId w:val="4"/>
        </w:numPr>
        <w:ind w:leftChars="0"/>
        <w:jc w:val="both"/>
        <w:rPr>
          <w:rFonts w:ascii="Garamond" w:hAnsi="Garamond" w:cs="Times New Roman"/>
        </w:rPr>
      </w:pPr>
      <w:r w:rsidRPr="002F559A">
        <w:rPr>
          <w:rFonts w:ascii="Garamond" w:hAnsi="Garamond" w:cs="Times New Roman"/>
        </w:rPr>
        <w:lastRenderedPageBreak/>
        <w:t xml:space="preserve">According to the author, who played a leading role in the inheritance of Taiwan's wartime memory after World War </w:t>
      </w:r>
      <w:proofErr w:type="gramStart"/>
      <w:r w:rsidR="008B1FE0" w:rsidRPr="002F559A">
        <w:rPr>
          <w:rFonts w:ascii="Garamond" w:hAnsi="Garamond" w:cs="Times New Roman"/>
        </w:rPr>
        <w:t>II ?</w:t>
      </w:r>
      <w:proofErr w:type="gramEnd"/>
      <w:r w:rsidR="008B1FE0" w:rsidRPr="002F559A">
        <w:rPr>
          <w:rFonts w:ascii="Garamond" w:hAnsi="Garamond" w:cs="Times New Roman"/>
        </w:rPr>
        <w:t xml:space="preserve"> (Single-choice question)</w:t>
      </w:r>
    </w:p>
    <w:p w:rsidR="008B1FE0" w:rsidRPr="002F559A" w:rsidRDefault="00A91AD7" w:rsidP="008B1FE0">
      <w:pPr>
        <w:pStyle w:val="a3"/>
        <w:numPr>
          <w:ilvl w:val="1"/>
          <w:numId w:val="4"/>
        </w:numPr>
        <w:ind w:leftChars="0"/>
        <w:jc w:val="both"/>
        <w:rPr>
          <w:rFonts w:ascii="Garamond" w:hAnsi="Garamond" w:cs="Times New Roman"/>
        </w:rPr>
      </w:pPr>
      <w:r w:rsidRPr="002F559A">
        <w:rPr>
          <w:rFonts w:ascii="Garamond" w:hAnsi="Garamond" w:cs="Times New Roman"/>
        </w:rPr>
        <w:t xml:space="preserve">the R.O.C. government </w:t>
      </w:r>
    </w:p>
    <w:p w:rsidR="00A91AD7" w:rsidRPr="002F559A" w:rsidRDefault="00A91AD7" w:rsidP="008B1FE0">
      <w:pPr>
        <w:pStyle w:val="a3"/>
        <w:numPr>
          <w:ilvl w:val="1"/>
          <w:numId w:val="4"/>
        </w:numPr>
        <w:ind w:leftChars="0"/>
        <w:jc w:val="both"/>
        <w:rPr>
          <w:rFonts w:ascii="Garamond" w:hAnsi="Garamond" w:cs="Times New Roman"/>
        </w:rPr>
      </w:pPr>
      <w:r w:rsidRPr="002F559A">
        <w:rPr>
          <w:rFonts w:ascii="Garamond" w:hAnsi="Garamond" w:cs="Times New Roman"/>
        </w:rPr>
        <w:t>the second Sino-Japanese War</w:t>
      </w:r>
    </w:p>
    <w:p w:rsidR="00A91AD7" w:rsidRPr="002F559A" w:rsidRDefault="00A91AD7" w:rsidP="008B1FE0">
      <w:pPr>
        <w:pStyle w:val="a3"/>
        <w:numPr>
          <w:ilvl w:val="1"/>
          <w:numId w:val="4"/>
        </w:numPr>
        <w:ind w:leftChars="0"/>
        <w:jc w:val="both"/>
        <w:rPr>
          <w:rFonts w:ascii="Garamond" w:hAnsi="Garamond" w:cs="Times New Roman"/>
        </w:rPr>
      </w:pPr>
      <w:proofErr w:type="spellStart"/>
      <w:r w:rsidRPr="002F559A">
        <w:rPr>
          <w:rFonts w:ascii="Garamond" w:hAnsi="Garamond" w:cs="Times New Roman"/>
        </w:rPr>
        <w:t>Mazu</w:t>
      </w:r>
      <w:proofErr w:type="spellEnd"/>
      <w:r w:rsidRPr="002F559A">
        <w:rPr>
          <w:rFonts w:ascii="Garamond" w:hAnsi="Garamond" w:cs="Times New Roman"/>
        </w:rPr>
        <w:t xml:space="preserve"> </w:t>
      </w:r>
    </w:p>
    <w:p w:rsidR="00A91AD7" w:rsidRPr="002F559A" w:rsidRDefault="00A91AD7" w:rsidP="008B1FE0">
      <w:pPr>
        <w:pStyle w:val="a3"/>
        <w:numPr>
          <w:ilvl w:val="1"/>
          <w:numId w:val="4"/>
        </w:numPr>
        <w:ind w:leftChars="0"/>
        <w:jc w:val="both"/>
        <w:rPr>
          <w:rFonts w:ascii="Garamond" w:hAnsi="Garamond" w:cs="Times New Roman"/>
        </w:rPr>
      </w:pPr>
      <w:r w:rsidRPr="002F559A">
        <w:rPr>
          <w:rFonts w:ascii="Garamond" w:hAnsi="Garamond" w:cs="Times New Roman"/>
        </w:rPr>
        <w:t>folk tale</w:t>
      </w:r>
    </w:p>
    <w:p w:rsidR="00A91AD7" w:rsidRPr="002F559A" w:rsidRDefault="00A91AD7" w:rsidP="00A91AD7">
      <w:pPr>
        <w:jc w:val="both"/>
        <w:rPr>
          <w:rFonts w:ascii="Garamond" w:hAnsi="Garamond" w:cs="Times New Roman"/>
        </w:rPr>
      </w:pPr>
    </w:p>
    <w:p w:rsidR="00A91AD7" w:rsidRPr="002F559A" w:rsidRDefault="00A91AD7" w:rsidP="00A86804">
      <w:pPr>
        <w:pStyle w:val="a3"/>
        <w:numPr>
          <w:ilvl w:val="0"/>
          <w:numId w:val="4"/>
        </w:numPr>
        <w:ind w:leftChars="0"/>
        <w:jc w:val="both"/>
        <w:rPr>
          <w:rFonts w:ascii="Garamond" w:hAnsi="Garamond" w:cs="Times New Roman"/>
        </w:rPr>
      </w:pPr>
      <w:r w:rsidRPr="002F559A">
        <w:rPr>
          <w:rFonts w:ascii="Garamond" w:hAnsi="Garamond" w:cs="Times New Roman"/>
        </w:rPr>
        <w:t>Please use the following keywords to summary the paper focus in Chinese, between 150-200 words.</w:t>
      </w:r>
      <w:r w:rsidRPr="002F559A">
        <w:rPr>
          <w:rFonts w:ascii="Garamond" w:hAnsi="Garamond" w:cs="Times New Roman"/>
        </w:rPr>
        <w:br/>
        <w:t>Keywords: collective memory, memories frame, the air raids, reconstructive memory</w:t>
      </w:r>
    </w:p>
    <w:p w:rsidR="00A91AD7" w:rsidRPr="002401E0" w:rsidRDefault="00A91AD7" w:rsidP="00071F94">
      <w:pPr>
        <w:pStyle w:val="a3"/>
        <w:ind w:leftChars="0" w:left="360"/>
        <w:rPr>
          <w:rFonts w:asciiTheme="minorEastAsia" w:hAnsiTheme="minorEastAsia"/>
        </w:rPr>
      </w:pPr>
    </w:p>
    <w:p w:rsidR="00071F94" w:rsidRPr="00283161" w:rsidRDefault="00071F94" w:rsidP="00071F94">
      <w:pPr>
        <w:pStyle w:val="a3"/>
        <w:ind w:leftChars="0" w:left="360"/>
      </w:pPr>
    </w:p>
    <w:p w:rsidR="008B1FE0" w:rsidRPr="00A86804" w:rsidRDefault="00CF2058" w:rsidP="002401E0">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8711E8">
        <w:rPr>
          <w:rFonts w:ascii="Times New Roman" w:eastAsia="標楷體" w:hAnsi="Times New Roman" w:cs="Times New Roman"/>
          <w:b/>
          <w:szCs w:val="24"/>
          <w:highlight w:val="magenta"/>
        </w:rPr>
        <w:t>Gender/Sexuality Studies</w:t>
      </w:r>
    </w:p>
    <w:p w:rsidR="008B1FE0" w:rsidRPr="002F559A" w:rsidRDefault="008B1FE0" w:rsidP="008B1FE0">
      <w:pPr>
        <w:rPr>
          <w:rFonts w:ascii="Garamond" w:hAnsi="Garamond" w:cs="Times New Roman"/>
        </w:rPr>
      </w:pPr>
      <w:r w:rsidRPr="002F559A">
        <w:rPr>
          <w:rFonts w:ascii="Garamond" w:hAnsi="Garamond" w:cs="Times New Roman"/>
        </w:rPr>
        <w:t xml:space="preserve">Choose </w:t>
      </w:r>
      <w:r w:rsidRPr="002F559A">
        <w:rPr>
          <w:rFonts w:ascii="Garamond" w:hAnsi="Garamond" w:cs="Times New Roman"/>
          <w:b/>
        </w:rPr>
        <w:t>ONE</w:t>
      </w:r>
      <w:r w:rsidRPr="002F559A">
        <w:rPr>
          <w:rFonts w:ascii="Garamond" w:hAnsi="Garamond" w:cs="Times New Roman"/>
        </w:rPr>
        <w:t xml:space="preserve"> from the following two quotations. 1) Read the passage (including titles and publication information) closely for how words, phrases and syntax help you deduce and </w:t>
      </w:r>
      <w:r w:rsidRPr="002F559A">
        <w:rPr>
          <w:rFonts w:ascii="Garamond" w:hAnsi="Garamond" w:cs="Times New Roman"/>
          <w:b/>
        </w:rPr>
        <w:t>situate</w:t>
      </w:r>
      <w:r w:rsidRPr="002F559A">
        <w:rPr>
          <w:rFonts w:ascii="Garamond" w:hAnsi="Garamond" w:cs="Times New Roman"/>
        </w:rPr>
        <w:t xml:space="preserve"> a context (where/when) and an address (to whom/what projected readership) for the quotation. 2) Summarize and </w:t>
      </w:r>
      <w:r w:rsidRPr="002F559A">
        <w:rPr>
          <w:rFonts w:ascii="Garamond" w:hAnsi="Garamond" w:cs="Times New Roman"/>
          <w:b/>
        </w:rPr>
        <w:t>explain</w:t>
      </w:r>
      <w:r w:rsidRPr="002F559A">
        <w:rPr>
          <w:rFonts w:ascii="Garamond" w:hAnsi="Garamond" w:cs="Times New Roman"/>
        </w:rPr>
        <w:t xml:space="preserve"> the main point and meaning of the passage chosen; briefly engage and interpret at least one key point made in the passage chosen. 4) </w:t>
      </w:r>
      <w:r w:rsidRPr="002F559A">
        <w:rPr>
          <w:rFonts w:ascii="Garamond" w:hAnsi="Garamond" w:cs="Times New Roman"/>
          <w:b/>
        </w:rPr>
        <w:t>Comment</w:t>
      </w:r>
      <w:r w:rsidRPr="002F559A">
        <w:rPr>
          <w:rFonts w:ascii="Garamond" w:hAnsi="Garamond" w:cs="Times New Roman"/>
        </w:rPr>
        <w:t xml:space="preserve"> on how the passage might or might not be relevant to an observed situation in the present.</w:t>
      </w:r>
    </w:p>
    <w:p w:rsidR="008B1FE0" w:rsidRPr="00A86804" w:rsidRDefault="008B1FE0" w:rsidP="008B1FE0">
      <w:pPr>
        <w:rPr>
          <w:rFonts w:ascii="Times New Roman" w:hAnsi="Times New Roman" w:cs="Times New Roman"/>
        </w:rPr>
      </w:pPr>
    </w:p>
    <w:p w:rsidR="008B1FE0" w:rsidRPr="00A86804" w:rsidRDefault="008B1FE0" w:rsidP="008B1FE0">
      <w:pPr>
        <w:pStyle w:val="a3"/>
        <w:numPr>
          <w:ilvl w:val="0"/>
          <w:numId w:val="5"/>
        </w:numPr>
        <w:ind w:leftChars="0"/>
        <w:rPr>
          <w:rFonts w:ascii="Times New Roman" w:hAnsi="Times New Roman" w:cs="Times New Roman"/>
        </w:rPr>
      </w:pPr>
      <w:r w:rsidRPr="00A86804">
        <w:rPr>
          <w:rFonts w:ascii="Times New Roman" w:hAnsi="Times New Roman" w:cs="Times New Roman"/>
        </w:rPr>
        <w:t xml:space="preserve">“In sum, the redefinition of womanhood in present-day India has required a redefinition of the concept of man and of public functioning. In this ongoing process, the emancipation of woman and her equality with man have been important but not the main issues. They may today lead to vicious debates in small groups of already privileged modern women, but the majority in the hinterland have not surprisingly never considered these themes relevant for social analysis and intervention. To make the issues of emancipation of woman and equality of sexes primary, one needs a culture in which conjugality is central to male-female relationships. One seeks emancipation from and equality with one’s husband and peers, not with one’s son. If the conjugal relationship itself remains relatively peripheral, the issues of emancipation and equality must remain so too.” (Ashish </w:t>
      </w:r>
      <w:proofErr w:type="spellStart"/>
      <w:r w:rsidRPr="00A86804">
        <w:rPr>
          <w:rFonts w:ascii="Times New Roman" w:hAnsi="Times New Roman" w:cs="Times New Roman"/>
        </w:rPr>
        <w:t>Nandy</w:t>
      </w:r>
      <w:proofErr w:type="spellEnd"/>
      <w:r w:rsidRPr="00A86804">
        <w:rPr>
          <w:rFonts w:ascii="Times New Roman" w:hAnsi="Times New Roman" w:cs="Times New Roman"/>
        </w:rPr>
        <w:t xml:space="preserve">, “Woman versus Womanliness in India: An Essay in Cultural and Political Psychology” first published in </w:t>
      </w:r>
      <w:r w:rsidRPr="00A86804">
        <w:rPr>
          <w:rFonts w:ascii="Times New Roman" w:hAnsi="Times New Roman" w:cs="Times New Roman"/>
          <w:i/>
        </w:rPr>
        <w:t>Psychoanalytic Review</w:t>
      </w:r>
      <w:r w:rsidRPr="00A86804">
        <w:rPr>
          <w:rFonts w:ascii="Times New Roman" w:hAnsi="Times New Roman" w:cs="Times New Roman"/>
        </w:rPr>
        <w:t xml:space="preserve">, 63: 2, Summer 1976; also in </w:t>
      </w:r>
      <w:proofErr w:type="gramStart"/>
      <w:r w:rsidRPr="00A86804">
        <w:rPr>
          <w:rFonts w:ascii="Times New Roman" w:hAnsi="Times New Roman" w:cs="Times New Roman"/>
          <w:i/>
        </w:rPr>
        <w:t>At</w:t>
      </w:r>
      <w:proofErr w:type="gramEnd"/>
      <w:r w:rsidRPr="00A86804">
        <w:rPr>
          <w:rFonts w:ascii="Times New Roman" w:hAnsi="Times New Roman" w:cs="Times New Roman"/>
          <w:i/>
        </w:rPr>
        <w:t xml:space="preserve"> the Edge of Psychology: Essays in Politics and Culture</w:t>
      </w:r>
      <w:r w:rsidRPr="00A86804">
        <w:rPr>
          <w:rFonts w:ascii="Times New Roman" w:hAnsi="Times New Roman" w:cs="Times New Roman"/>
        </w:rPr>
        <w:t>, Oxford University Press, India, 1980, Pp. 32 – 46; 1980: 41)</w:t>
      </w:r>
    </w:p>
    <w:p w:rsidR="008B1FE0" w:rsidRPr="00A86804" w:rsidRDefault="008B1FE0" w:rsidP="008B1FE0">
      <w:pPr>
        <w:ind w:left="480"/>
        <w:rPr>
          <w:rFonts w:ascii="Times New Roman" w:hAnsi="Times New Roman" w:cs="Times New Roman"/>
        </w:rPr>
      </w:pPr>
    </w:p>
    <w:p w:rsidR="008B1FE0" w:rsidRPr="00A86804" w:rsidRDefault="008B1FE0" w:rsidP="008B1FE0">
      <w:pPr>
        <w:pStyle w:val="a3"/>
        <w:numPr>
          <w:ilvl w:val="0"/>
          <w:numId w:val="5"/>
        </w:numPr>
        <w:ind w:leftChars="0"/>
        <w:rPr>
          <w:rFonts w:ascii="Times New Roman" w:hAnsi="Times New Roman" w:cs="Times New Roman"/>
        </w:rPr>
      </w:pPr>
      <w:r w:rsidRPr="00A86804">
        <w:rPr>
          <w:rFonts w:ascii="Times New Roman" w:hAnsi="Times New Roman" w:cs="Times New Roman"/>
        </w:rPr>
        <w:t xml:space="preserve">“Of course I am not arguing that it is the aggressive mothers who are ultimately responsible for the backstage manipulation and for maintaining the value of exclusive </w:t>
      </w:r>
      <w:proofErr w:type="spellStart"/>
      <w:r w:rsidRPr="00A86804">
        <w:rPr>
          <w:rFonts w:ascii="Times New Roman" w:hAnsi="Times New Roman" w:cs="Times New Roman"/>
        </w:rPr>
        <w:t>familism</w:t>
      </w:r>
      <w:proofErr w:type="spellEnd"/>
      <w:r w:rsidRPr="00A86804">
        <w:rPr>
          <w:rFonts w:ascii="Times New Roman" w:hAnsi="Times New Roman" w:cs="Times New Roman"/>
        </w:rPr>
        <w:t xml:space="preserve">. What I </w:t>
      </w:r>
      <w:r w:rsidRPr="00A86804">
        <w:rPr>
          <w:rFonts w:ascii="Times New Roman" w:hAnsi="Times New Roman" w:cs="Times New Roman"/>
        </w:rPr>
        <w:lastRenderedPageBreak/>
        <w:t xml:space="preserve">am suggesting here is that any kind of fundamental social change cannot take place unless the roles of women and men are redefined. The Korean history we have known is only a part of the whole picture. Only after we discover the other side of Confucianism, we will be able to write a holistic history. It needs to be emphasized that </w:t>
      </w:r>
      <w:proofErr w:type="spellStart"/>
      <w:r w:rsidRPr="00A86804">
        <w:rPr>
          <w:rFonts w:ascii="Times New Roman" w:hAnsi="Times New Roman" w:cs="Times New Roman"/>
        </w:rPr>
        <w:t>familism</w:t>
      </w:r>
      <w:proofErr w:type="spellEnd"/>
      <w:r w:rsidRPr="00A86804">
        <w:rPr>
          <w:rFonts w:ascii="Times New Roman" w:hAnsi="Times New Roman" w:cs="Times New Roman"/>
        </w:rPr>
        <w:t xml:space="preserve">, mother power and “overdependence” between men and women, which are largely the unintended product of Confucian patriarchy, have been contributing significantly in creating an extremely conservative social system. If Koreans are truly determined to be masters of their own history, they may have to concern themselves more about making mother less powerful. […] When Korean women give up their mother power, we may expect a revolution in Korean society.” (Cho </w:t>
      </w:r>
      <w:proofErr w:type="spellStart"/>
      <w:r w:rsidRPr="00A86804">
        <w:rPr>
          <w:rFonts w:ascii="Times New Roman" w:hAnsi="Times New Roman" w:cs="Times New Roman"/>
        </w:rPr>
        <w:t>Haejoang</w:t>
      </w:r>
      <w:proofErr w:type="spellEnd"/>
      <w:r w:rsidRPr="00A86804">
        <w:rPr>
          <w:rFonts w:ascii="Times New Roman" w:hAnsi="Times New Roman" w:cs="Times New Roman"/>
        </w:rPr>
        <w:t xml:space="preserve">, “Male Dominance and Mother Power: The Two Sides of Confucian Patriarchy in Korea,” in </w:t>
      </w:r>
      <w:r w:rsidRPr="00A86804">
        <w:rPr>
          <w:rFonts w:ascii="Times New Roman" w:hAnsi="Times New Roman" w:cs="Times New Roman"/>
          <w:i/>
        </w:rPr>
        <w:t>The Psycho-cultural dynamics of the Confucian family: past and present</w:t>
      </w:r>
      <w:r w:rsidRPr="00A86804">
        <w:rPr>
          <w:rFonts w:ascii="Times New Roman" w:hAnsi="Times New Roman" w:cs="Times New Roman"/>
        </w:rPr>
        <w:t>, International Cultural Society of Korea, 1986: 296)</w:t>
      </w:r>
    </w:p>
    <w:p w:rsidR="00EA7628" w:rsidRPr="008B1FE0" w:rsidRDefault="00EA7628" w:rsidP="00EA7628">
      <w:pPr>
        <w:jc w:val="both"/>
        <w:rPr>
          <w:rFonts w:ascii="Times New Roman" w:hAnsi="Times New Roman" w:cs="Times New Roman"/>
        </w:rPr>
      </w:pPr>
    </w:p>
    <w:p w:rsidR="002401E0" w:rsidRPr="00EA7628" w:rsidRDefault="002401E0" w:rsidP="00EA7628">
      <w:pPr>
        <w:jc w:val="both"/>
        <w:rPr>
          <w:rFonts w:ascii="Times New Roman" w:hAnsi="Times New Roman" w:cs="Times New Roman"/>
        </w:rPr>
      </w:pPr>
    </w:p>
    <w:p w:rsidR="00CF2058" w:rsidRPr="002F559A" w:rsidRDefault="00CF2058" w:rsidP="00CF2058">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8711E8">
        <w:rPr>
          <w:rFonts w:ascii="Times New Roman" w:hAnsi="Times New Roman" w:cs="Times New Roman"/>
          <w:b/>
          <w:highlight w:val="yellow"/>
        </w:rPr>
        <w:t>Visual Culture</w:t>
      </w:r>
    </w:p>
    <w:p w:rsidR="008B1FE0" w:rsidRPr="002F559A" w:rsidRDefault="008B1FE0" w:rsidP="008B1FE0">
      <w:pPr>
        <w:jc w:val="both"/>
        <w:rPr>
          <w:rFonts w:ascii="Garamond" w:hAnsi="Garamond" w:cs="Times New Roman"/>
          <w:szCs w:val="24"/>
        </w:rPr>
      </w:pPr>
      <w:r w:rsidRPr="002F559A">
        <w:rPr>
          <w:rFonts w:ascii="Garamond" w:hAnsi="Garamond" w:cs="Times New Roman"/>
          <w:szCs w:val="24"/>
        </w:rPr>
        <w:t xml:space="preserve">The passage compares the “concept of technique” in the culture industry and in fine art. Explain briefly, in your own words, what seems to be problematic with the works of the culture industry, according to this passage. Can you give an example of the use of technique in the Hollywood blockbuster or in fine art? </w:t>
      </w:r>
    </w:p>
    <w:p w:rsidR="008B1FE0" w:rsidRPr="002F559A" w:rsidRDefault="008B1FE0" w:rsidP="008B1FE0">
      <w:pPr>
        <w:rPr>
          <w:rStyle w:val="fontstyle01"/>
          <w:rFonts w:ascii="Times New Roman" w:hAnsi="Times New Roman" w:cs="Times New Roman"/>
          <w:sz w:val="24"/>
          <w:szCs w:val="24"/>
        </w:rPr>
      </w:pPr>
      <w:bookmarkStart w:id="0" w:name="_GoBack"/>
      <w:bookmarkEnd w:id="0"/>
    </w:p>
    <w:p w:rsidR="008B1FE0" w:rsidRPr="002F559A" w:rsidRDefault="008B1FE0" w:rsidP="008B1FE0">
      <w:pPr>
        <w:jc w:val="both"/>
        <w:rPr>
          <w:rStyle w:val="fontstyle01"/>
          <w:rFonts w:ascii="Times New Roman" w:hAnsi="Times New Roman" w:cs="Times New Roman"/>
          <w:sz w:val="24"/>
          <w:szCs w:val="24"/>
        </w:rPr>
      </w:pPr>
      <w:r w:rsidRPr="002F559A">
        <w:rPr>
          <w:rStyle w:val="fontstyle01"/>
          <w:rFonts w:ascii="Times New Roman" w:hAnsi="Times New Roman" w:cs="Times New Roman"/>
          <w:sz w:val="24"/>
          <w:szCs w:val="24"/>
        </w:rPr>
        <w:t xml:space="preserve">The concept of technique in the culture industry is only in name identical with technique in works of art. In the latter, technique is concerned with the internal organization of the object itself, with its inner logic. In contrast, the technique of the culture industry is, from the beginning, one of distribution and mechanical reproduction, and therefore always remains external to its object. The culture industry </w:t>
      </w:r>
      <w:r w:rsidRPr="002F559A">
        <w:rPr>
          <w:rStyle w:val="fontstyle21"/>
          <w:rFonts w:ascii="Times New Roman" w:hAnsi="Times New Roman" w:cs="Times New Roman"/>
          <w:sz w:val="24"/>
          <w:szCs w:val="24"/>
        </w:rPr>
        <w:t>fi</w:t>
      </w:r>
      <w:r w:rsidRPr="002F559A">
        <w:rPr>
          <w:rStyle w:val="fontstyle01"/>
          <w:rFonts w:ascii="Times New Roman" w:hAnsi="Times New Roman" w:cs="Times New Roman"/>
          <w:sz w:val="24"/>
          <w:szCs w:val="24"/>
        </w:rPr>
        <w:t>nds ideological support precisely in so far as it carefully shields itself from the full potential of the techniques contained in its products. It lives parasitically from the extra-artistic technique of the material production of goods, without regard for the obligation to the internal artistic whole implied by its functionality (</w:t>
      </w:r>
      <w:proofErr w:type="spellStart"/>
      <w:r w:rsidRPr="002F559A">
        <w:rPr>
          <w:rStyle w:val="fontstyle31"/>
          <w:rFonts w:ascii="Times New Roman" w:hAnsi="Times New Roman" w:cs="Times New Roman"/>
          <w:sz w:val="24"/>
          <w:szCs w:val="24"/>
        </w:rPr>
        <w:t>Sachlichkeit</w:t>
      </w:r>
      <w:proofErr w:type="spellEnd"/>
      <w:r w:rsidRPr="002F559A">
        <w:rPr>
          <w:rStyle w:val="fontstyle01"/>
          <w:rFonts w:ascii="Times New Roman" w:hAnsi="Times New Roman" w:cs="Times New Roman"/>
          <w:sz w:val="24"/>
          <w:szCs w:val="24"/>
        </w:rPr>
        <w:t>), but also without concern for the laws of form demanded by aesthetic autonomy. The result for the physiognomy of the culture industry is essentially a mixture of streamlining, photographic hardness and precision on the one hand, and individualistic residues, sentimentality and an already rationally disposed and adapted romanticism on the other.</w:t>
      </w:r>
    </w:p>
    <w:p w:rsidR="008B1FE0" w:rsidRPr="002F559A" w:rsidRDefault="008B1FE0" w:rsidP="008B1FE0">
      <w:pPr>
        <w:widowControl/>
        <w:shd w:val="clear" w:color="auto" w:fill="FFFFFF"/>
        <w:rPr>
          <w:rFonts w:ascii="Times New Roman" w:eastAsia="新細明體" w:hAnsi="Times New Roman" w:cs="Times New Roman"/>
          <w:color w:val="222222"/>
          <w:kern w:val="0"/>
          <w:szCs w:val="24"/>
        </w:rPr>
      </w:pPr>
    </w:p>
    <w:p w:rsidR="008B1FE0" w:rsidRPr="002F559A" w:rsidRDefault="00A86804" w:rsidP="00A86804">
      <w:pPr>
        <w:widowControl/>
        <w:shd w:val="clear" w:color="auto" w:fill="FFFFFF"/>
        <w:jc w:val="right"/>
        <w:rPr>
          <w:rFonts w:ascii="Times New Roman" w:eastAsia="新細明體" w:hAnsi="Times New Roman" w:cs="Times New Roman"/>
          <w:color w:val="222222"/>
          <w:kern w:val="0"/>
          <w:szCs w:val="24"/>
        </w:rPr>
      </w:pPr>
      <w:r w:rsidRPr="002F559A">
        <w:rPr>
          <w:rFonts w:ascii="Times New Roman" w:hAnsi="Times New Roman" w:cs="Times New Roman"/>
          <w:szCs w:val="24"/>
        </w:rPr>
        <w:t>---</w:t>
      </w:r>
      <w:r w:rsidR="008B1FE0" w:rsidRPr="002F559A">
        <w:rPr>
          <w:rFonts w:ascii="Times New Roman" w:eastAsia="新細明體" w:hAnsi="Times New Roman" w:cs="Times New Roman"/>
          <w:color w:val="222222"/>
          <w:kern w:val="0"/>
          <w:szCs w:val="24"/>
        </w:rPr>
        <w:t>Theodor Adorno, "Culture Industry Reconsidered"</w:t>
      </w:r>
    </w:p>
    <w:p w:rsidR="008B1FE0" w:rsidRDefault="008B1FE0" w:rsidP="008B1FE0">
      <w:pPr>
        <w:jc w:val="both"/>
        <w:rPr>
          <w:rFonts w:ascii="Times New Roman" w:hAnsi="Times New Roman" w:cs="Times New Roman"/>
          <w:szCs w:val="24"/>
        </w:rPr>
      </w:pPr>
    </w:p>
    <w:p w:rsidR="002F559A" w:rsidRDefault="002F559A" w:rsidP="008B1FE0">
      <w:pPr>
        <w:jc w:val="both"/>
        <w:rPr>
          <w:rFonts w:ascii="Times New Roman" w:hAnsi="Times New Roman" w:cs="Times New Roman"/>
          <w:szCs w:val="24"/>
        </w:rPr>
      </w:pPr>
    </w:p>
    <w:p w:rsidR="002F559A" w:rsidRPr="002F559A" w:rsidRDefault="002F559A" w:rsidP="008B1FE0">
      <w:pPr>
        <w:jc w:val="both"/>
        <w:rPr>
          <w:rFonts w:ascii="Times New Roman" w:hAnsi="Times New Roman" w:cs="Times New Roman"/>
          <w:szCs w:val="24"/>
        </w:rPr>
      </w:pPr>
    </w:p>
    <w:p w:rsidR="008B1FE0" w:rsidRPr="002F559A" w:rsidRDefault="008B1FE0" w:rsidP="008B1FE0">
      <w:pPr>
        <w:pStyle w:val="a3"/>
        <w:numPr>
          <w:ilvl w:val="0"/>
          <w:numId w:val="2"/>
        </w:numPr>
        <w:spacing w:beforeLines="100" w:before="360" w:afterLines="100" w:after="360"/>
        <w:ind w:leftChars="0" w:left="357" w:hanging="357"/>
        <w:jc w:val="both"/>
        <w:rPr>
          <w:rFonts w:ascii="Times New Roman" w:hAnsi="Times New Roman" w:cs="Times New Roman"/>
          <w:b/>
          <w:szCs w:val="24"/>
        </w:rPr>
      </w:pPr>
      <w:r w:rsidRPr="00A86804">
        <w:rPr>
          <w:rFonts w:ascii="Times New Roman" w:hAnsi="Times New Roman" w:cs="Times New Roman"/>
          <w:b/>
          <w:szCs w:val="24"/>
          <w:highlight w:val="red"/>
        </w:rPr>
        <w:lastRenderedPageBreak/>
        <w:t>Media and Cultural Governance</w:t>
      </w:r>
    </w:p>
    <w:p w:rsidR="008B1FE0" w:rsidRPr="002F559A" w:rsidRDefault="008B1FE0" w:rsidP="002F559A">
      <w:pPr>
        <w:jc w:val="both"/>
        <w:rPr>
          <w:rFonts w:ascii="Garamond" w:hAnsi="Garamond" w:cs="Times New Roman"/>
          <w:szCs w:val="24"/>
        </w:rPr>
      </w:pPr>
      <w:r w:rsidRPr="002F559A">
        <w:rPr>
          <w:rFonts w:ascii="Garamond" w:hAnsi="Garamond" w:cs="Times New Roman"/>
          <w:szCs w:val="24"/>
        </w:rPr>
        <w:t>Please read the following excerpt of a news report and jot down critical issues raised in it. Do you agree or disagree? And, do you have any extended ideas after reading it? Please present your notes during the oral examination.</w:t>
      </w:r>
    </w:p>
    <w:p w:rsidR="008B1FE0" w:rsidRPr="00A86804" w:rsidRDefault="008B1FE0" w:rsidP="008B1FE0">
      <w:pPr>
        <w:rPr>
          <w:rFonts w:ascii="Times New Roman" w:hAnsi="Times New Roman" w:cs="Times New Roman"/>
          <w:szCs w:val="24"/>
        </w:rPr>
      </w:pPr>
    </w:p>
    <w:p w:rsidR="008B1FE0" w:rsidRPr="00A86804" w:rsidRDefault="008B1FE0" w:rsidP="008B1FE0">
      <w:pPr>
        <w:rPr>
          <w:rFonts w:ascii="Times New Roman" w:hAnsi="Times New Roman" w:cs="Times New Roman"/>
          <w:b/>
          <w:szCs w:val="24"/>
        </w:rPr>
      </w:pPr>
      <w:r w:rsidRPr="00A86804">
        <w:rPr>
          <w:rFonts w:ascii="Times New Roman" w:hAnsi="Times New Roman" w:cs="Times New Roman"/>
          <w:b/>
          <w:szCs w:val="24"/>
        </w:rPr>
        <w:t xml:space="preserve">What Is </w:t>
      </w:r>
      <w:proofErr w:type="spellStart"/>
      <w:r w:rsidRPr="00A86804">
        <w:rPr>
          <w:rFonts w:ascii="Times New Roman" w:hAnsi="Times New Roman" w:cs="Times New Roman"/>
          <w:b/>
          <w:szCs w:val="24"/>
        </w:rPr>
        <w:t>Hallyu</w:t>
      </w:r>
      <w:proofErr w:type="spellEnd"/>
      <w:r w:rsidRPr="00A86804">
        <w:rPr>
          <w:rFonts w:ascii="Times New Roman" w:hAnsi="Times New Roman" w:cs="Times New Roman"/>
          <w:b/>
          <w:szCs w:val="24"/>
        </w:rPr>
        <w:t xml:space="preserve"> and Why Are Luxury Brands So Obsessed </w:t>
      </w:r>
      <w:proofErr w:type="gramStart"/>
      <w:r w:rsidRPr="00A86804">
        <w:rPr>
          <w:rFonts w:ascii="Times New Roman" w:hAnsi="Times New Roman" w:cs="Times New Roman"/>
          <w:b/>
          <w:szCs w:val="24"/>
        </w:rPr>
        <w:t>With</w:t>
      </w:r>
      <w:proofErr w:type="gramEnd"/>
      <w:r w:rsidRPr="00A86804">
        <w:rPr>
          <w:rFonts w:ascii="Times New Roman" w:hAnsi="Times New Roman" w:cs="Times New Roman"/>
          <w:b/>
          <w:szCs w:val="24"/>
        </w:rPr>
        <w:t xml:space="preserve"> It?</w:t>
      </w:r>
    </w:p>
    <w:p w:rsidR="008B1FE0" w:rsidRPr="00A86804" w:rsidRDefault="008B1FE0" w:rsidP="008B1FE0">
      <w:pPr>
        <w:rPr>
          <w:rFonts w:ascii="Times New Roman" w:hAnsi="Times New Roman" w:cs="Times New Roman"/>
          <w:szCs w:val="24"/>
        </w:rPr>
      </w:pPr>
      <w:r w:rsidRPr="00A86804">
        <w:rPr>
          <w:rFonts w:ascii="Times New Roman" w:hAnsi="Times New Roman" w:cs="Times New Roman"/>
          <w:szCs w:val="24"/>
        </w:rPr>
        <w:t>TIME, April 28, 2023</w:t>
      </w:r>
    </w:p>
    <w:p w:rsidR="008B1FE0" w:rsidRPr="00A86804" w:rsidRDefault="008B1FE0" w:rsidP="008B1FE0">
      <w:pPr>
        <w:rPr>
          <w:rFonts w:ascii="Times New Roman" w:hAnsi="Times New Roman" w:cs="Times New Roman"/>
          <w:szCs w:val="24"/>
        </w:rPr>
      </w:pPr>
    </w:p>
    <w:p w:rsidR="008B1FE0" w:rsidRPr="00A86804" w:rsidRDefault="008B1FE0" w:rsidP="008B1FE0">
      <w:pPr>
        <w:rPr>
          <w:rFonts w:ascii="Times New Roman" w:hAnsi="Times New Roman" w:cs="Times New Roman"/>
          <w:szCs w:val="24"/>
        </w:rPr>
      </w:pPr>
      <w:r w:rsidRPr="00A86804">
        <w:rPr>
          <w:rFonts w:ascii="Times New Roman" w:hAnsi="Times New Roman" w:cs="Times New Roman"/>
          <w:szCs w:val="24"/>
        </w:rPr>
        <w:t xml:space="preserve">Seoul’s </w:t>
      </w:r>
      <w:proofErr w:type="spellStart"/>
      <w:r w:rsidRPr="00A86804">
        <w:rPr>
          <w:rFonts w:ascii="Times New Roman" w:hAnsi="Times New Roman" w:cs="Times New Roman"/>
          <w:szCs w:val="24"/>
        </w:rPr>
        <w:t>Jamsugyo</w:t>
      </w:r>
      <w:proofErr w:type="spellEnd"/>
      <w:r w:rsidRPr="00A86804">
        <w:rPr>
          <w:rFonts w:ascii="Times New Roman" w:hAnsi="Times New Roman" w:cs="Times New Roman"/>
          <w:szCs w:val="24"/>
        </w:rPr>
        <w:t xml:space="preserve"> Bridge, which crosses the Han River, will transform into a high fashion runway on April 29, as Louis Vuitton presents its first-ever pre-fall womenswear show in South Korea in a partnership that aims to boost tourism and capitalize on the popularity of the country’s pop culture.</w:t>
      </w:r>
    </w:p>
    <w:p w:rsidR="008B1FE0" w:rsidRPr="00A86804" w:rsidRDefault="008B1FE0" w:rsidP="008B1FE0">
      <w:pPr>
        <w:rPr>
          <w:rFonts w:ascii="Times New Roman" w:hAnsi="Times New Roman" w:cs="Times New Roman"/>
          <w:szCs w:val="24"/>
        </w:rPr>
      </w:pPr>
    </w:p>
    <w:p w:rsidR="008B1FE0" w:rsidRPr="00A86804" w:rsidRDefault="008B1FE0" w:rsidP="008B1FE0">
      <w:pPr>
        <w:rPr>
          <w:rFonts w:ascii="Times New Roman" w:hAnsi="Times New Roman" w:cs="Times New Roman"/>
          <w:szCs w:val="24"/>
        </w:rPr>
      </w:pPr>
      <w:r w:rsidRPr="00A86804">
        <w:rPr>
          <w:rFonts w:ascii="Times New Roman" w:hAnsi="Times New Roman" w:cs="Times New Roman"/>
          <w:szCs w:val="24"/>
        </w:rPr>
        <w:t xml:space="preserve">The historic display is being brought to life by the French fashion house’s creative director Nicolas </w:t>
      </w:r>
      <w:proofErr w:type="spellStart"/>
      <w:r w:rsidRPr="00A86804">
        <w:rPr>
          <w:rFonts w:ascii="Times New Roman" w:hAnsi="Times New Roman" w:cs="Times New Roman"/>
          <w:szCs w:val="24"/>
        </w:rPr>
        <w:t>Ghesquière</w:t>
      </w:r>
      <w:proofErr w:type="spellEnd"/>
      <w:r w:rsidRPr="00A86804">
        <w:rPr>
          <w:rFonts w:ascii="Times New Roman" w:hAnsi="Times New Roman" w:cs="Times New Roman"/>
          <w:szCs w:val="24"/>
        </w:rPr>
        <w:t xml:space="preserve">, with </w:t>
      </w:r>
      <w:r w:rsidRPr="00A86804">
        <w:rPr>
          <w:rFonts w:ascii="Times New Roman" w:hAnsi="Times New Roman" w:cs="Times New Roman"/>
          <w:i/>
          <w:szCs w:val="24"/>
        </w:rPr>
        <w:t>Squid Game</w:t>
      </w:r>
      <w:r w:rsidRPr="00A86804">
        <w:rPr>
          <w:rFonts w:ascii="Times New Roman" w:hAnsi="Times New Roman" w:cs="Times New Roman"/>
          <w:szCs w:val="24"/>
        </w:rPr>
        <w:t xml:space="preserve"> director Hwang Dong-</w:t>
      </w:r>
      <w:proofErr w:type="spellStart"/>
      <w:r w:rsidRPr="00A86804">
        <w:rPr>
          <w:rFonts w:ascii="Times New Roman" w:hAnsi="Times New Roman" w:cs="Times New Roman"/>
          <w:szCs w:val="24"/>
        </w:rPr>
        <w:t>hyuk</w:t>
      </w:r>
      <w:proofErr w:type="spellEnd"/>
      <w:r w:rsidRPr="00A86804">
        <w:rPr>
          <w:rFonts w:ascii="Times New Roman" w:hAnsi="Times New Roman" w:cs="Times New Roman"/>
          <w:szCs w:val="24"/>
        </w:rPr>
        <w:t xml:space="preserve"> working as a creative advisor on the show’s scenography. Louis Vuitton chose Seoul because it is a “cultural hub that continues to draw global attention,” said chairman and CEO Pietro </w:t>
      </w:r>
      <w:proofErr w:type="spellStart"/>
      <w:r w:rsidRPr="00A86804">
        <w:rPr>
          <w:rFonts w:ascii="Times New Roman" w:hAnsi="Times New Roman" w:cs="Times New Roman"/>
          <w:szCs w:val="24"/>
        </w:rPr>
        <w:t>Beccari</w:t>
      </w:r>
      <w:proofErr w:type="spellEnd"/>
      <w:r w:rsidRPr="00A86804">
        <w:rPr>
          <w:rFonts w:ascii="Times New Roman" w:hAnsi="Times New Roman" w:cs="Times New Roman"/>
          <w:szCs w:val="24"/>
        </w:rPr>
        <w:t xml:space="preserve"> in a statement, noting that the city shares a “common spirit” with the luxury brand.</w:t>
      </w:r>
    </w:p>
    <w:p w:rsidR="008B1FE0" w:rsidRPr="00A86804" w:rsidRDefault="008B1FE0" w:rsidP="008B1FE0">
      <w:pPr>
        <w:rPr>
          <w:rFonts w:ascii="Times New Roman" w:hAnsi="Times New Roman" w:cs="Times New Roman"/>
          <w:szCs w:val="24"/>
        </w:rPr>
      </w:pPr>
    </w:p>
    <w:p w:rsidR="008B1FE0" w:rsidRPr="00A86804" w:rsidRDefault="008B1FE0" w:rsidP="008B1FE0">
      <w:pPr>
        <w:rPr>
          <w:rFonts w:ascii="Times New Roman" w:hAnsi="Times New Roman" w:cs="Times New Roman"/>
          <w:szCs w:val="24"/>
        </w:rPr>
      </w:pPr>
      <w:r w:rsidRPr="00A86804">
        <w:rPr>
          <w:rFonts w:ascii="Times New Roman" w:hAnsi="Times New Roman" w:cs="Times New Roman"/>
          <w:szCs w:val="24"/>
        </w:rPr>
        <w:t>The show marks a symbiotic three-party partnership between the brand’s parent company LVMH, the Korea Tourism Organization, and Seoul Metropolitan Government, as part of an attempt to attract more visitors to South Korea.</w:t>
      </w:r>
    </w:p>
    <w:p w:rsidR="008B1FE0" w:rsidRPr="00A86804" w:rsidRDefault="008B1FE0" w:rsidP="008B1FE0">
      <w:pPr>
        <w:rPr>
          <w:rFonts w:ascii="Times New Roman" w:hAnsi="Times New Roman" w:cs="Times New Roman"/>
          <w:szCs w:val="24"/>
        </w:rPr>
      </w:pPr>
    </w:p>
    <w:p w:rsidR="008B1FE0" w:rsidRPr="00A86804" w:rsidRDefault="008B1FE0" w:rsidP="008B1FE0">
      <w:pPr>
        <w:rPr>
          <w:rFonts w:ascii="Times New Roman" w:hAnsi="Times New Roman" w:cs="Times New Roman"/>
          <w:szCs w:val="24"/>
        </w:rPr>
      </w:pPr>
      <w:r w:rsidRPr="00A86804">
        <w:rPr>
          <w:rFonts w:ascii="Times New Roman" w:hAnsi="Times New Roman" w:cs="Times New Roman"/>
          <w:szCs w:val="24"/>
        </w:rPr>
        <w:t>It is part of a wider tourism effort for 2023-2024 “Visit Korea Year.” The initiative aims to encourage as many as 30 million overseas tourists to travel to the capital this year. The collaboration will include long and short-term projects that preserve the river and its biodiversity, and promote tourism in Seoul via fashion exhibitions and other content.</w:t>
      </w:r>
    </w:p>
    <w:p w:rsidR="008B1FE0" w:rsidRPr="00A86804" w:rsidRDefault="008B1FE0" w:rsidP="008B1FE0">
      <w:pPr>
        <w:rPr>
          <w:rFonts w:ascii="Times New Roman" w:hAnsi="Times New Roman" w:cs="Times New Roman"/>
          <w:szCs w:val="24"/>
        </w:rPr>
      </w:pPr>
    </w:p>
    <w:p w:rsidR="008B1FE0" w:rsidRPr="00A86804" w:rsidRDefault="008B1FE0" w:rsidP="008B1FE0">
      <w:pPr>
        <w:rPr>
          <w:rFonts w:ascii="Times New Roman" w:hAnsi="Times New Roman" w:cs="Times New Roman"/>
          <w:szCs w:val="24"/>
        </w:rPr>
      </w:pPr>
      <w:r w:rsidRPr="00A86804">
        <w:rPr>
          <w:rFonts w:ascii="Times New Roman" w:hAnsi="Times New Roman" w:cs="Times New Roman"/>
          <w:szCs w:val="24"/>
        </w:rPr>
        <w:t xml:space="preserve">The deal comes as luxury brands increasingly look to capitalize on the growing global fascination with </w:t>
      </w:r>
      <w:proofErr w:type="spellStart"/>
      <w:r w:rsidRPr="00A86804">
        <w:rPr>
          <w:rFonts w:ascii="Times New Roman" w:hAnsi="Times New Roman" w:cs="Times New Roman"/>
          <w:szCs w:val="24"/>
        </w:rPr>
        <w:t>hallyu</w:t>
      </w:r>
      <w:proofErr w:type="spellEnd"/>
      <w:r w:rsidRPr="00A86804">
        <w:rPr>
          <w:rFonts w:ascii="Times New Roman" w:hAnsi="Times New Roman" w:cs="Times New Roman"/>
          <w:szCs w:val="24"/>
        </w:rPr>
        <w:t xml:space="preserve">, a term denoting the so-called Korean wave of popular culture that has spread around the world since the 1990s, with the success of K-pop music and Korean dramas. In February, Louis Vuitton announced that J-Hope, a band member of the global sensation BTS—who were lauded by Seoul’s tourism board in 2018—would be its newest brand ambassador. He is the latest member of his band to partner with a luxury brand, after his bandmates </w:t>
      </w:r>
      <w:proofErr w:type="spellStart"/>
      <w:r w:rsidRPr="00A86804">
        <w:rPr>
          <w:rFonts w:ascii="Times New Roman" w:hAnsi="Times New Roman" w:cs="Times New Roman"/>
          <w:szCs w:val="24"/>
        </w:rPr>
        <w:t>Jimin</w:t>
      </w:r>
      <w:proofErr w:type="spellEnd"/>
      <w:r w:rsidRPr="00A86804">
        <w:rPr>
          <w:rFonts w:ascii="Times New Roman" w:hAnsi="Times New Roman" w:cs="Times New Roman"/>
          <w:szCs w:val="24"/>
        </w:rPr>
        <w:t xml:space="preserve"> and </w:t>
      </w:r>
      <w:proofErr w:type="spellStart"/>
      <w:r w:rsidRPr="00A86804">
        <w:rPr>
          <w:rFonts w:ascii="Times New Roman" w:hAnsi="Times New Roman" w:cs="Times New Roman"/>
          <w:szCs w:val="24"/>
        </w:rPr>
        <w:t>Suga</w:t>
      </w:r>
      <w:proofErr w:type="spellEnd"/>
      <w:r w:rsidRPr="00A86804">
        <w:rPr>
          <w:rFonts w:ascii="Times New Roman" w:hAnsi="Times New Roman" w:cs="Times New Roman"/>
          <w:szCs w:val="24"/>
        </w:rPr>
        <w:t>, signed lucrative deals with Christian Dior and Valentino respectively.</w:t>
      </w:r>
    </w:p>
    <w:p w:rsidR="008B1FE0" w:rsidRPr="00A86804" w:rsidRDefault="008B1FE0" w:rsidP="008B1FE0">
      <w:pPr>
        <w:rPr>
          <w:rFonts w:ascii="Times New Roman" w:hAnsi="Times New Roman" w:cs="Times New Roman"/>
          <w:szCs w:val="24"/>
        </w:rPr>
      </w:pPr>
    </w:p>
    <w:p w:rsidR="008B1FE0" w:rsidRPr="00A86804" w:rsidRDefault="008B1FE0" w:rsidP="008B1FE0">
      <w:pPr>
        <w:rPr>
          <w:rFonts w:ascii="Times New Roman" w:hAnsi="Times New Roman" w:cs="Times New Roman"/>
          <w:szCs w:val="24"/>
        </w:rPr>
      </w:pPr>
      <w:r w:rsidRPr="00A86804">
        <w:rPr>
          <w:rFonts w:ascii="Times New Roman" w:hAnsi="Times New Roman" w:cs="Times New Roman"/>
          <w:szCs w:val="24"/>
        </w:rPr>
        <w:t xml:space="preserve">Key figures from South Korea’s culture scene will likely attend Saturday’s show; </w:t>
      </w:r>
      <w:r w:rsidRPr="00A86804">
        <w:rPr>
          <w:rFonts w:ascii="Times New Roman" w:hAnsi="Times New Roman" w:cs="Times New Roman"/>
          <w:i/>
          <w:szCs w:val="24"/>
        </w:rPr>
        <w:t xml:space="preserve">Squid Game </w:t>
      </w:r>
      <w:proofErr w:type="gramStart"/>
      <w:r w:rsidRPr="00A86804">
        <w:rPr>
          <w:rFonts w:ascii="Times New Roman" w:hAnsi="Times New Roman" w:cs="Times New Roman"/>
          <w:szCs w:val="24"/>
        </w:rPr>
        <w:t>star</w:t>
      </w:r>
      <w:proofErr w:type="gramEnd"/>
      <w:r w:rsidRPr="00A86804">
        <w:rPr>
          <w:rFonts w:ascii="Times New Roman" w:hAnsi="Times New Roman" w:cs="Times New Roman"/>
          <w:szCs w:val="24"/>
        </w:rPr>
        <w:t xml:space="preserve"> Ho </w:t>
      </w:r>
      <w:proofErr w:type="spellStart"/>
      <w:r w:rsidRPr="00A86804">
        <w:rPr>
          <w:rFonts w:ascii="Times New Roman" w:hAnsi="Times New Roman" w:cs="Times New Roman"/>
          <w:szCs w:val="24"/>
        </w:rPr>
        <w:t>Yeon</w:t>
      </w:r>
      <w:proofErr w:type="spellEnd"/>
      <w:r w:rsidRPr="00A86804">
        <w:rPr>
          <w:rFonts w:ascii="Times New Roman" w:hAnsi="Times New Roman" w:cs="Times New Roman"/>
          <w:szCs w:val="24"/>
        </w:rPr>
        <w:t xml:space="preserve"> Jung and model So-</w:t>
      </w:r>
      <w:proofErr w:type="spellStart"/>
      <w:r w:rsidRPr="00A86804">
        <w:rPr>
          <w:rFonts w:ascii="Times New Roman" w:hAnsi="Times New Roman" w:cs="Times New Roman"/>
          <w:szCs w:val="24"/>
        </w:rPr>
        <w:t>ra</w:t>
      </w:r>
      <w:proofErr w:type="spellEnd"/>
      <w:r w:rsidRPr="00A86804">
        <w:rPr>
          <w:rFonts w:ascii="Times New Roman" w:hAnsi="Times New Roman" w:cs="Times New Roman"/>
          <w:szCs w:val="24"/>
        </w:rPr>
        <w:t xml:space="preserve"> Choi, who both star in the women’s pre-fall 2023 campaign, are </w:t>
      </w:r>
      <w:r w:rsidRPr="00A86804">
        <w:rPr>
          <w:rFonts w:ascii="Times New Roman" w:hAnsi="Times New Roman" w:cs="Times New Roman"/>
          <w:szCs w:val="24"/>
        </w:rPr>
        <w:lastRenderedPageBreak/>
        <w:t>expected to be present.</w:t>
      </w:r>
    </w:p>
    <w:p w:rsidR="008B1FE0" w:rsidRPr="00A86804" w:rsidRDefault="008B1FE0" w:rsidP="008B1FE0">
      <w:pPr>
        <w:rPr>
          <w:rFonts w:ascii="Times New Roman" w:hAnsi="Times New Roman" w:cs="Times New Roman"/>
          <w:szCs w:val="24"/>
        </w:rPr>
      </w:pPr>
    </w:p>
    <w:p w:rsidR="008B1FE0" w:rsidRPr="00A86804" w:rsidRDefault="008B1FE0" w:rsidP="008B1FE0">
      <w:pPr>
        <w:rPr>
          <w:rFonts w:ascii="Times New Roman" w:hAnsi="Times New Roman" w:cs="Times New Roman"/>
          <w:szCs w:val="24"/>
        </w:rPr>
      </w:pPr>
      <w:r w:rsidRPr="00A86804">
        <w:rPr>
          <w:rFonts w:ascii="Times New Roman" w:hAnsi="Times New Roman" w:cs="Times New Roman"/>
          <w:szCs w:val="24"/>
        </w:rPr>
        <w:t xml:space="preserve">“I think luxury fashion houses view Seoul as a hip city because it has a young and energetic mood,” says </w:t>
      </w:r>
      <w:proofErr w:type="spellStart"/>
      <w:r w:rsidRPr="00A86804">
        <w:rPr>
          <w:rFonts w:ascii="Times New Roman" w:hAnsi="Times New Roman" w:cs="Times New Roman"/>
          <w:szCs w:val="24"/>
        </w:rPr>
        <w:t>Kyoung</w:t>
      </w:r>
      <w:proofErr w:type="spellEnd"/>
      <w:r w:rsidRPr="00A86804">
        <w:rPr>
          <w:rFonts w:ascii="Times New Roman" w:hAnsi="Times New Roman" w:cs="Times New Roman"/>
          <w:szCs w:val="24"/>
        </w:rPr>
        <w:t xml:space="preserve"> </w:t>
      </w:r>
      <w:proofErr w:type="spellStart"/>
      <w:r w:rsidRPr="00A86804">
        <w:rPr>
          <w:rFonts w:ascii="Times New Roman" w:hAnsi="Times New Roman" w:cs="Times New Roman"/>
          <w:szCs w:val="24"/>
        </w:rPr>
        <w:t>Eun</w:t>
      </w:r>
      <w:proofErr w:type="spellEnd"/>
      <w:r w:rsidRPr="00A86804">
        <w:rPr>
          <w:rFonts w:ascii="Times New Roman" w:hAnsi="Times New Roman" w:cs="Times New Roman"/>
          <w:szCs w:val="24"/>
        </w:rPr>
        <w:t xml:space="preserve"> Rhee, a former fashion editor at </w:t>
      </w:r>
      <w:r w:rsidRPr="00A86804">
        <w:rPr>
          <w:rFonts w:ascii="Times New Roman" w:hAnsi="Times New Roman" w:cs="Times New Roman"/>
          <w:i/>
          <w:szCs w:val="24"/>
        </w:rPr>
        <w:t>Elle</w:t>
      </w:r>
      <w:r w:rsidRPr="00A86804">
        <w:rPr>
          <w:rFonts w:ascii="Times New Roman" w:hAnsi="Times New Roman" w:cs="Times New Roman"/>
          <w:szCs w:val="24"/>
        </w:rPr>
        <w:t xml:space="preserve"> magazine and a stylist to young Korean actors. While Korean culture once had a small following, social media has afforded artists a larger platform, allowing them to build a mainstream </w:t>
      </w:r>
      <w:proofErr w:type="spellStart"/>
      <w:r w:rsidRPr="00A86804">
        <w:rPr>
          <w:rFonts w:ascii="Times New Roman" w:hAnsi="Times New Roman" w:cs="Times New Roman"/>
          <w:szCs w:val="24"/>
        </w:rPr>
        <w:t>fanbase</w:t>
      </w:r>
      <w:proofErr w:type="spellEnd"/>
      <w:r w:rsidRPr="00A86804">
        <w:rPr>
          <w:rFonts w:ascii="Times New Roman" w:hAnsi="Times New Roman" w:cs="Times New Roman"/>
          <w:szCs w:val="24"/>
        </w:rPr>
        <w:t xml:space="preserve"> of young people, she says.</w:t>
      </w:r>
    </w:p>
    <w:p w:rsidR="008B1FE0" w:rsidRPr="00A86804" w:rsidRDefault="008B1FE0" w:rsidP="008B1FE0">
      <w:pPr>
        <w:rPr>
          <w:rFonts w:ascii="Times New Roman" w:hAnsi="Times New Roman" w:cs="Times New Roman"/>
          <w:szCs w:val="24"/>
        </w:rPr>
      </w:pPr>
    </w:p>
    <w:p w:rsidR="008B1FE0" w:rsidRPr="00A86804" w:rsidRDefault="008B1FE0" w:rsidP="008B1FE0">
      <w:pPr>
        <w:rPr>
          <w:rFonts w:ascii="Times New Roman" w:hAnsi="Times New Roman" w:cs="Times New Roman"/>
          <w:szCs w:val="24"/>
        </w:rPr>
      </w:pPr>
      <w:r w:rsidRPr="00A86804">
        <w:rPr>
          <w:rFonts w:ascii="Times New Roman" w:hAnsi="Times New Roman" w:cs="Times New Roman"/>
          <w:szCs w:val="24"/>
        </w:rPr>
        <w:t xml:space="preserve">“Those global young generations made luxury houses focus on K-pop. Young people all over the world will be their main customer base someday, so having markets in these various countries is key,” says </w:t>
      </w:r>
      <w:proofErr w:type="spellStart"/>
      <w:r w:rsidRPr="00A86804">
        <w:rPr>
          <w:rFonts w:ascii="Times New Roman" w:hAnsi="Times New Roman" w:cs="Times New Roman"/>
          <w:szCs w:val="24"/>
        </w:rPr>
        <w:t>Kyoung</w:t>
      </w:r>
      <w:proofErr w:type="spellEnd"/>
      <w:r w:rsidRPr="00A86804">
        <w:rPr>
          <w:rFonts w:ascii="Times New Roman" w:hAnsi="Times New Roman" w:cs="Times New Roman"/>
          <w:szCs w:val="24"/>
        </w:rPr>
        <w:t>. The right brand ambassadors can make luxury products seem attainable to young citizens across Asia, rather than an asset reserved for older generations, she adds.</w:t>
      </w:r>
    </w:p>
    <w:p w:rsidR="008B1FE0" w:rsidRPr="00A86804" w:rsidRDefault="008B1FE0" w:rsidP="008B1FE0">
      <w:pPr>
        <w:rPr>
          <w:rFonts w:ascii="Times New Roman" w:hAnsi="Times New Roman" w:cs="Times New Roman"/>
          <w:szCs w:val="24"/>
        </w:rPr>
      </w:pPr>
    </w:p>
    <w:p w:rsidR="008B1FE0" w:rsidRPr="00A86804" w:rsidRDefault="008B1FE0" w:rsidP="008B1FE0">
      <w:pPr>
        <w:rPr>
          <w:rFonts w:ascii="Times New Roman" w:hAnsi="Times New Roman" w:cs="Times New Roman"/>
          <w:szCs w:val="24"/>
        </w:rPr>
      </w:pPr>
      <w:r w:rsidRPr="00A86804">
        <w:rPr>
          <w:rFonts w:ascii="Times New Roman" w:hAnsi="Times New Roman" w:cs="Times New Roman"/>
          <w:szCs w:val="24"/>
        </w:rPr>
        <w:t xml:space="preserve">As such, K-pop stars are becoming increasingly visible in luxury brand campaigns, with </w:t>
      </w:r>
      <w:proofErr w:type="spellStart"/>
      <w:r w:rsidRPr="00A86804">
        <w:rPr>
          <w:rFonts w:ascii="Times New Roman" w:hAnsi="Times New Roman" w:cs="Times New Roman"/>
          <w:szCs w:val="24"/>
        </w:rPr>
        <w:t>Blackpink</w:t>
      </w:r>
      <w:proofErr w:type="spellEnd"/>
      <w:r w:rsidRPr="00A86804">
        <w:rPr>
          <w:rFonts w:ascii="Times New Roman" w:hAnsi="Times New Roman" w:cs="Times New Roman"/>
          <w:szCs w:val="24"/>
        </w:rPr>
        <w:t xml:space="preserve">, one of the world’s most popular girl groups, working with Celine, Chanel, Dior, and Saint Laurent. In May, Gucci is also set to host its postponed cruise collection show in South Korea to mark the brand’s 25 years in the country, and </w:t>
      </w:r>
      <w:r w:rsidRPr="00A86804">
        <w:rPr>
          <w:rFonts w:ascii="Times New Roman" w:hAnsi="Times New Roman" w:cs="Times New Roman"/>
          <w:i/>
          <w:szCs w:val="24"/>
        </w:rPr>
        <w:t>Women’s Wear Daily</w:t>
      </w:r>
      <w:r w:rsidRPr="00A86804">
        <w:rPr>
          <w:rFonts w:ascii="Times New Roman" w:hAnsi="Times New Roman" w:cs="Times New Roman"/>
          <w:szCs w:val="24"/>
        </w:rPr>
        <w:t xml:space="preserve"> reports that Saint Laurent is also considering a Seoul show this year.</w:t>
      </w:r>
    </w:p>
    <w:p w:rsidR="008B1FE0" w:rsidRPr="00A86804" w:rsidRDefault="008B1FE0" w:rsidP="008B1FE0">
      <w:pPr>
        <w:rPr>
          <w:rFonts w:ascii="Times New Roman" w:hAnsi="Times New Roman" w:cs="Times New Roman"/>
          <w:szCs w:val="24"/>
        </w:rPr>
      </w:pPr>
    </w:p>
    <w:p w:rsidR="008B1FE0" w:rsidRPr="00A86804" w:rsidRDefault="008B1FE0" w:rsidP="008B1FE0">
      <w:pPr>
        <w:rPr>
          <w:rFonts w:ascii="Times New Roman" w:hAnsi="Times New Roman" w:cs="Times New Roman"/>
          <w:szCs w:val="24"/>
        </w:rPr>
      </w:pPr>
      <w:r w:rsidRPr="00A86804">
        <w:rPr>
          <w:rFonts w:ascii="Times New Roman" w:hAnsi="Times New Roman" w:cs="Times New Roman"/>
          <w:szCs w:val="24"/>
        </w:rPr>
        <w:t xml:space="preserve">“Research tells us that the </w:t>
      </w:r>
      <w:proofErr w:type="spellStart"/>
      <w:r w:rsidRPr="00A86804">
        <w:rPr>
          <w:rFonts w:ascii="Times New Roman" w:hAnsi="Times New Roman" w:cs="Times New Roman"/>
          <w:szCs w:val="24"/>
        </w:rPr>
        <w:t>hallyu</w:t>
      </w:r>
      <w:proofErr w:type="spellEnd"/>
      <w:r w:rsidRPr="00A86804">
        <w:rPr>
          <w:rFonts w:ascii="Times New Roman" w:hAnsi="Times New Roman" w:cs="Times New Roman"/>
          <w:szCs w:val="24"/>
        </w:rPr>
        <w:t xml:space="preserve"> industry has been a major draw for tourism to Korea, particularly inter-Asian tourism, which tends to be realized in large group tours that are well organized,” Mary Ainslie, an associate professor at the University of Nottingham Ningbo China Campus who specializes in Southeast Asian culture and media, tells TIME.</w:t>
      </w:r>
    </w:p>
    <w:p w:rsidR="008B1FE0" w:rsidRPr="00A86804" w:rsidRDefault="008B1FE0" w:rsidP="008B1FE0">
      <w:pPr>
        <w:rPr>
          <w:rFonts w:ascii="Times New Roman" w:hAnsi="Times New Roman" w:cs="Times New Roman"/>
          <w:szCs w:val="24"/>
        </w:rPr>
      </w:pPr>
    </w:p>
    <w:p w:rsidR="008B1FE0" w:rsidRPr="008B1FE0" w:rsidRDefault="008B1FE0" w:rsidP="00CF2058">
      <w:pPr>
        <w:jc w:val="both"/>
        <w:rPr>
          <w:rFonts w:ascii="Cambria" w:hAnsi="Cambria" w:cs="Times New Roman"/>
        </w:rPr>
      </w:pPr>
    </w:p>
    <w:p w:rsidR="008B1FE0" w:rsidRPr="002401E0" w:rsidRDefault="008B1FE0" w:rsidP="00CF2058">
      <w:pPr>
        <w:jc w:val="both"/>
        <w:rPr>
          <w:rFonts w:ascii="Times New Roman" w:hAnsi="Times New Roman" w:cs="Times New Roman"/>
        </w:rPr>
      </w:pPr>
    </w:p>
    <w:sectPr w:rsidR="008B1FE0" w:rsidRPr="002401E0" w:rsidSect="00CF205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27" w:rsidRDefault="00CB2F27" w:rsidP="002401E0">
      <w:r>
        <w:separator/>
      </w:r>
    </w:p>
  </w:endnote>
  <w:endnote w:type="continuationSeparator" w:id="0">
    <w:p w:rsidR="00CB2F27" w:rsidRDefault="00CB2F27" w:rsidP="002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JoannaMT">
    <w:altName w:val="Cambria"/>
    <w:panose1 w:val="00000000000000000000"/>
    <w:charset w:val="00"/>
    <w:family w:val="roman"/>
    <w:notTrueType/>
    <w:pitch w:val="default"/>
  </w:font>
  <w:font w:name="JoannaMT-Expert">
    <w:altName w:val="Cambria"/>
    <w:panose1 w:val="00000000000000000000"/>
    <w:charset w:val="00"/>
    <w:family w:val="roman"/>
    <w:notTrueType/>
    <w:pitch w:val="default"/>
  </w:font>
  <w:font w:name="JoannaMT-Italic">
    <w:altName w:val="Cambria"/>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zh-TW"/>
      </w:rPr>
      <w:id w:val="1136761403"/>
      <w:docPartObj>
        <w:docPartGallery w:val="Page Numbers (Bottom of Page)"/>
        <w:docPartUnique/>
      </w:docPartObj>
    </w:sdtPr>
    <w:sdtEndPr>
      <w:rPr>
        <w:lang w:val="en-US"/>
      </w:rPr>
    </w:sdtEndPr>
    <w:sdtContent>
      <w:p w:rsidR="00D54315" w:rsidRDefault="00D54315">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TW"/>
          </w:rPr>
          <w:t>頁</w:t>
        </w:r>
        <w:r>
          <w:rPr>
            <w:rFonts w:asciiTheme="majorHAnsi" w:eastAsiaTheme="majorEastAsia" w:hAnsiTheme="majorHAnsi" w:cstheme="majorBidi"/>
            <w:sz w:val="28"/>
            <w:szCs w:val="28"/>
            <w:lang w:val="zh-TW"/>
          </w:rPr>
          <w:t xml:space="preserve"> </w:t>
        </w:r>
        <w:r>
          <w:rPr>
            <w:rFonts w:cs="Times New Roman"/>
            <w:sz w:val="22"/>
            <w:szCs w:val="22"/>
          </w:rPr>
          <w:fldChar w:fldCharType="begin"/>
        </w:r>
        <w:r>
          <w:instrText>PAGE    \* MERGEFORMAT</w:instrText>
        </w:r>
        <w:r>
          <w:rPr>
            <w:rFonts w:cs="Times New Roman"/>
            <w:sz w:val="22"/>
            <w:szCs w:val="22"/>
          </w:rPr>
          <w:fldChar w:fldCharType="separate"/>
        </w:r>
        <w:r w:rsidR="008711E8" w:rsidRPr="008711E8">
          <w:rPr>
            <w:rFonts w:asciiTheme="majorHAnsi" w:eastAsiaTheme="majorEastAsia" w:hAnsiTheme="majorHAnsi" w:cstheme="majorBidi"/>
            <w:noProof/>
            <w:sz w:val="28"/>
            <w:szCs w:val="28"/>
            <w:lang w:val="zh-TW"/>
          </w:rPr>
          <w:t>7</w:t>
        </w:r>
        <w:r>
          <w:rPr>
            <w:rFonts w:asciiTheme="majorHAnsi" w:eastAsiaTheme="majorEastAsia" w:hAnsiTheme="majorHAnsi" w:cstheme="majorBidi"/>
            <w:sz w:val="28"/>
            <w:szCs w:val="28"/>
          </w:rPr>
          <w:fldChar w:fldCharType="end"/>
        </w:r>
      </w:p>
    </w:sdtContent>
  </w:sdt>
  <w:p w:rsidR="00D54315" w:rsidRDefault="00D5431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27" w:rsidRDefault="00CB2F27" w:rsidP="002401E0">
      <w:r>
        <w:separator/>
      </w:r>
    </w:p>
  </w:footnote>
  <w:footnote w:type="continuationSeparator" w:id="0">
    <w:p w:rsidR="00CB2F27" w:rsidRDefault="00CB2F27" w:rsidP="002401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322C"/>
    <w:multiLevelType w:val="hybridMultilevel"/>
    <w:tmpl w:val="31E8192C"/>
    <w:lvl w:ilvl="0" w:tplc="CEA8968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F30FB"/>
    <w:multiLevelType w:val="hybridMultilevel"/>
    <w:tmpl w:val="96A0FD02"/>
    <w:lvl w:ilvl="0" w:tplc="9482E39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CC2B6F"/>
    <w:multiLevelType w:val="hybridMultilevel"/>
    <w:tmpl w:val="86A266AE"/>
    <w:lvl w:ilvl="0" w:tplc="8CEA58A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180350"/>
    <w:multiLevelType w:val="hybridMultilevel"/>
    <w:tmpl w:val="3954C862"/>
    <w:lvl w:ilvl="0" w:tplc="0409000F">
      <w:start w:val="1"/>
      <w:numFmt w:val="decimal"/>
      <w:lvlText w:val="%1."/>
      <w:lvlJc w:val="left"/>
      <w:pPr>
        <w:ind w:left="960" w:hanging="480"/>
      </w:pPr>
    </w:lvl>
    <w:lvl w:ilvl="1" w:tplc="9482E390">
      <w:start w:val="1"/>
      <w:numFmt w:val="lowerLetter"/>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44E15BA"/>
    <w:multiLevelType w:val="hybridMultilevel"/>
    <w:tmpl w:val="23D2A462"/>
    <w:lvl w:ilvl="0" w:tplc="ED9E4B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58"/>
    <w:rsid w:val="00071F94"/>
    <w:rsid w:val="00094E0B"/>
    <w:rsid w:val="001747D2"/>
    <w:rsid w:val="002401E0"/>
    <w:rsid w:val="002F559A"/>
    <w:rsid w:val="002F74C9"/>
    <w:rsid w:val="005A43F0"/>
    <w:rsid w:val="00675426"/>
    <w:rsid w:val="006F797F"/>
    <w:rsid w:val="00735CD4"/>
    <w:rsid w:val="008711E8"/>
    <w:rsid w:val="008B1FE0"/>
    <w:rsid w:val="00A25438"/>
    <w:rsid w:val="00A86804"/>
    <w:rsid w:val="00A91AD7"/>
    <w:rsid w:val="00CB2F27"/>
    <w:rsid w:val="00CF2058"/>
    <w:rsid w:val="00D54315"/>
    <w:rsid w:val="00D74E65"/>
    <w:rsid w:val="00EA7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DA6D3-CDBE-40B5-9D3B-02B87C8E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2058"/>
    <w:pPr>
      <w:widowControl w:val="0"/>
      <w:autoSpaceDE w:val="0"/>
      <w:autoSpaceDN w:val="0"/>
      <w:adjustRightInd w:val="0"/>
    </w:pPr>
    <w:rPr>
      <w:rFonts w:ascii="Times New Roman" w:eastAsia="新細明體" w:hAnsi="Times New Roman" w:cs="Times New Roman"/>
      <w:color w:val="000000"/>
      <w:kern w:val="0"/>
      <w:szCs w:val="24"/>
      <w:lang w:eastAsia="en-US"/>
    </w:rPr>
  </w:style>
  <w:style w:type="paragraph" w:styleId="a3">
    <w:name w:val="List Paragraph"/>
    <w:basedOn w:val="a"/>
    <w:uiPriority w:val="34"/>
    <w:qFormat/>
    <w:rsid w:val="00CF2058"/>
    <w:pPr>
      <w:ind w:leftChars="200" w:left="480"/>
    </w:pPr>
  </w:style>
  <w:style w:type="paragraph" w:styleId="a4">
    <w:name w:val="Balloon Text"/>
    <w:basedOn w:val="a"/>
    <w:link w:val="a5"/>
    <w:uiPriority w:val="99"/>
    <w:semiHidden/>
    <w:unhideWhenUsed/>
    <w:rsid w:val="006F797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F797F"/>
    <w:rPr>
      <w:rFonts w:asciiTheme="majorHAnsi" w:eastAsiaTheme="majorEastAsia" w:hAnsiTheme="majorHAnsi" w:cstheme="majorBidi"/>
      <w:sz w:val="18"/>
      <w:szCs w:val="18"/>
    </w:rPr>
  </w:style>
  <w:style w:type="character" w:customStyle="1" w:styleId="st">
    <w:name w:val="st"/>
    <w:basedOn w:val="a0"/>
    <w:rsid w:val="00071F94"/>
  </w:style>
  <w:style w:type="character" w:styleId="a6">
    <w:name w:val="Emphasis"/>
    <w:basedOn w:val="a0"/>
    <w:uiPriority w:val="20"/>
    <w:qFormat/>
    <w:rsid w:val="00071F94"/>
    <w:rPr>
      <w:i/>
      <w:iCs/>
    </w:rPr>
  </w:style>
  <w:style w:type="paragraph" w:styleId="a7">
    <w:name w:val="header"/>
    <w:basedOn w:val="a"/>
    <w:link w:val="a8"/>
    <w:uiPriority w:val="99"/>
    <w:unhideWhenUsed/>
    <w:rsid w:val="002401E0"/>
    <w:pPr>
      <w:tabs>
        <w:tab w:val="center" w:pos="4153"/>
        <w:tab w:val="right" w:pos="8306"/>
      </w:tabs>
      <w:snapToGrid w:val="0"/>
    </w:pPr>
    <w:rPr>
      <w:sz w:val="20"/>
      <w:szCs w:val="20"/>
    </w:rPr>
  </w:style>
  <w:style w:type="character" w:customStyle="1" w:styleId="a8">
    <w:name w:val="頁首 字元"/>
    <w:basedOn w:val="a0"/>
    <w:link w:val="a7"/>
    <w:uiPriority w:val="99"/>
    <w:rsid w:val="002401E0"/>
    <w:rPr>
      <w:sz w:val="20"/>
      <w:szCs w:val="20"/>
    </w:rPr>
  </w:style>
  <w:style w:type="paragraph" w:styleId="a9">
    <w:name w:val="footer"/>
    <w:basedOn w:val="a"/>
    <w:link w:val="aa"/>
    <w:uiPriority w:val="99"/>
    <w:unhideWhenUsed/>
    <w:rsid w:val="002401E0"/>
    <w:pPr>
      <w:tabs>
        <w:tab w:val="center" w:pos="4153"/>
        <w:tab w:val="right" w:pos="8306"/>
      </w:tabs>
      <w:snapToGrid w:val="0"/>
    </w:pPr>
    <w:rPr>
      <w:sz w:val="20"/>
      <w:szCs w:val="20"/>
    </w:rPr>
  </w:style>
  <w:style w:type="character" w:customStyle="1" w:styleId="aa">
    <w:name w:val="頁尾 字元"/>
    <w:basedOn w:val="a0"/>
    <w:link w:val="a9"/>
    <w:uiPriority w:val="99"/>
    <w:rsid w:val="002401E0"/>
    <w:rPr>
      <w:sz w:val="20"/>
      <w:szCs w:val="20"/>
    </w:rPr>
  </w:style>
  <w:style w:type="paragraph" w:customStyle="1" w:styleId="1">
    <w:name w:val="內文1"/>
    <w:rsid w:val="002401E0"/>
    <w:pPr>
      <w:widowControl w:val="0"/>
    </w:pPr>
    <w:rPr>
      <w:rFonts w:ascii="Calibri" w:eastAsia="新細明體" w:hAnsi="Calibri" w:cs="Times New Roman"/>
      <w:szCs w:val="24"/>
    </w:rPr>
  </w:style>
  <w:style w:type="paragraph" w:styleId="Web">
    <w:name w:val="Normal (Web)"/>
    <w:basedOn w:val="a"/>
    <w:uiPriority w:val="99"/>
    <w:semiHidden/>
    <w:unhideWhenUsed/>
    <w:rsid w:val="002401E0"/>
    <w:pPr>
      <w:widowControl/>
      <w:spacing w:before="100" w:beforeAutospacing="1" w:after="100" w:afterAutospacing="1"/>
    </w:pPr>
    <w:rPr>
      <w:rFonts w:ascii="Times New Roman" w:eastAsia="Times New Roman" w:hAnsi="Times New Roman" w:cs="Times New Roman"/>
      <w:kern w:val="0"/>
      <w:szCs w:val="24"/>
    </w:rPr>
  </w:style>
  <w:style w:type="character" w:customStyle="1" w:styleId="ref-lnk">
    <w:name w:val="ref-lnk"/>
    <w:basedOn w:val="a0"/>
    <w:rsid w:val="00A91AD7"/>
  </w:style>
  <w:style w:type="character" w:customStyle="1" w:styleId="fontstyle01">
    <w:name w:val="fontstyle01"/>
    <w:basedOn w:val="a0"/>
    <w:rsid w:val="008B1FE0"/>
    <w:rPr>
      <w:rFonts w:ascii="JoannaMT" w:hAnsi="JoannaMT" w:hint="default"/>
      <w:b w:val="0"/>
      <w:bCs w:val="0"/>
      <w:i w:val="0"/>
      <w:iCs w:val="0"/>
      <w:color w:val="000000"/>
      <w:sz w:val="20"/>
      <w:szCs w:val="20"/>
    </w:rPr>
  </w:style>
  <w:style w:type="character" w:customStyle="1" w:styleId="fontstyle21">
    <w:name w:val="fontstyle21"/>
    <w:basedOn w:val="a0"/>
    <w:rsid w:val="008B1FE0"/>
    <w:rPr>
      <w:rFonts w:ascii="JoannaMT-Expert" w:hAnsi="JoannaMT-Expert" w:hint="default"/>
      <w:b w:val="0"/>
      <w:bCs w:val="0"/>
      <w:i w:val="0"/>
      <w:iCs w:val="0"/>
      <w:color w:val="000000"/>
      <w:sz w:val="20"/>
      <w:szCs w:val="20"/>
    </w:rPr>
  </w:style>
  <w:style w:type="character" w:customStyle="1" w:styleId="fontstyle31">
    <w:name w:val="fontstyle31"/>
    <w:basedOn w:val="a0"/>
    <w:rsid w:val="008B1FE0"/>
    <w:rPr>
      <w:rFonts w:ascii="JoannaMT-Italic" w:hAnsi="JoannaMT-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7013">
      <w:bodyDiv w:val="1"/>
      <w:marLeft w:val="0"/>
      <w:marRight w:val="0"/>
      <w:marTop w:val="0"/>
      <w:marBottom w:val="0"/>
      <w:divBdr>
        <w:top w:val="none" w:sz="0" w:space="0" w:color="auto"/>
        <w:left w:val="none" w:sz="0" w:space="0" w:color="auto"/>
        <w:bottom w:val="none" w:sz="0" w:space="0" w:color="auto"/>
        <w:right w:val="none" w:sz="0" w:space="0" w:color="auto"/>
      </w:divBdr>
    </w:div>
    <w:div w:id="400250859">
      <w:bodyDiv w:val="1"/>
      <w:marLeft w:val="0"/>
      <w:marRight w:val="0"/>
      <w:marTop w:val="0"/>
      <w:marBottom w:val="0"/>
      <w:divBdr>
        <w:top w:val="none" w:sz="0" w:space="0" w:color="auto"/>
        <w:left w:val="none" w:sz="0" w:space="0" w:color="auto"/>
        <w:bottom w:val="none" w:sz="0" w:space="0" w:color="auto"/>
        <w:right w:val="none" w:sz="0" w:space="0" w:color="auto"/>
      </w:divBdr>
    </w:div>
    <w:div w:id="5374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姓名排序" Version="2003"/>
</file>

<file path=customXml/itemProps1.xml><?xml version="1.0" encoding="utf-8"?>
<ds:datastoreItem xmlns:ds="http://schemas.openxmlformats.org/officeDocument/2006/customXml" ds:itemID="{B3777805-853D-4AB4-B300-EA386C6C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2362</Words>
  <Characters>13468</Characters>
  <Application>Microsoft Office Word</Application>
  <DocSecurity>0</DocSecurity>
  <Lines>112</Lines>
  <Paragraphs>31</Paragraphs>
  <ScaleCrop>false</ScaleCrop>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dc:creator>
  <cp:keywords/>
  <dc:description/>
  <cp:lastModifiedBy>Windows 使用者</cp:lastModifiedBy>
  <cp:revision>4</cp:revision>
  <cp:lastPrinted>2022-11-03T04:05:00Z</cp:lastPrinted>
  <dcterms:created xsi:type="dcterms:W3CDTF">2023-11-02T06:14:00Z</dcterms:created>
  <dcterms:modified xsi:type="dcterms:W3CDTF">2023-11-02T06:58:00Z</dcterms:modified>
</cp:coreProperties>
</file>